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footer2.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word/_rels/header4.xml.rels" ContentType="application/vnd.openxmlformats-package.relationships+xml"/>
  <Override PartName="/word/_rels/header5.xml.rels" ContentType="application/vnd.openxmlformats-package.relationships+xml"/>
  <Override PartName="/word/_rels/header6.xml.rels" ContentType="application/vnd.openxmlformats-package.relationships+xml"/>
  <Override PartName="/word/_rels/header7.xml.rels" ContentType="application/vnd.openxmlformats-package.relationships+xml"/>
  <Override PartName="/word/_rels/header8.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rPr>
          <w:lang w:val="en-US"/>
        </w:rPr>
      </w:pPr>
      <w:r>
        <w:rPr>
          <w:lang w:val="en-US"/>
        </w:rPr>
      </w:r>
    </w:p>
    <w:p>
      <w:pPr>
        <w:pStyle w:val="Normal"/>
        <w:spacing w:before="0" w:after="0"/>
        <w:rPr/>
      </w:pPr>
      <w:r>
        <w:rPr/>
      </w:r>
    </w:p>
    <w:p>
      <w:pPr>
        <w:pStyle w:val="Normal"/>
        <w:widowControl w:val="false"/>
        <w:spacing w:lineRule="auto" w:line="276" w:before="0" w:after="0"/>
        <w:rPr>
          <w:rFonts w:ascii="Open Sans" w:hAnsi="Open Sans" w:eastAsia="Open Sans" w:cs="Open Sans"/>
        </w:rPr>
      </w:pPr>
      <w:r>
        <w:rPr>
          <w:rFonts w:eastAsia="Open Sans" w:cs="Open Sans" w:ascii="Open Sans" w:hAnsi="Open Sans"/>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lineRule="auto" w:line="288" w:before="0" w:after="0"/>
        <w:rPr>
          <w:rFonts w:ascii="Open Sans" w:hAnsi="Open Sans" w:eastAsia="Open Sans" w:cs="Open Sans"/>
          <w:sz w:val="17"/>
          <w:szCs w:val="17"/>
        </w:rPr>
      </w:pPr>
      <w:r>
        <w:rPr>
          <w:rFonts w:eastAsia="Open Sans" w:cs="Open Sans" w:ascii="Open Sans" w:hAnsi="Open Sans"/>
          <w:sz w:val="17"/>
          <w:szCs w:val="17"/>
        </w:rPr>
      </w:r>
    </w:p>
    <w:p>
      <w:pPr>
        <w:pStyle w:val="Normal"/>
        <w:spacing w:before="0" w:after="360"/>
        <w:ind w:right="-60" w:hanging="0"/>
        <w:jc w:val="center"/>
        <w:rPr>
          <w:b/>
          <w:b/>
          <w:color w:val="0092D1"/>
          <w:sz w:val="52"/>
          <w:szCs w:val="52"/>
        </w:rPr>
      </w:pPr>
      <w:r>
        <w:rPr>
          <w:b/>
          <w:color w:val="0092D1"/>
          <w:sz w:val="52"/>
          <w:szCs w:val="52"/>
        </w:rPr>
        <w:t xml:space="preserve">Support the Rule of Law Reforms in Ukraine in the Areas of Police and Public Prosecution and Good Governance (PRAVO-law Enforcement) Project </w:t>
      </w:r>
    </w:p>
    <w:p>
      <w:pPr>
        <w:pStyle w:val="Normal"/>
        <w:widowControl w:val="false"/>
        <w:spacing w:before="0" w:after="0"/>
        <w:ind w:right="-60" w:hanging="0"/>
        <w:jc w:val="center"/>
        <w:rPr>
          <w:sz w:val="28"/>
          <w:szCs w:val="28"/>
        </w:rPr>
      </w:pPr>
      <w:r>
        <w:rPr>
          <w:sz w:val="28"/>
          <w:szCs w:val="28"/>
        </w:rPr>
        <w:t xml:space="preserve">Installing additional modules to existing check-points and community policing posts of the MDNP in Donetsk Region to enhance provision of police services to the population in the post-conflict or adjacent to conflict territories of Donetsk region </w:t>
      </w:r>
    </w:p>
    <w:p>
      <w:pPr>
        <w:pStyle w:val="Normal"/>
        <w:widowControl w:val="false"/>
        <w:spacing w:before="0" w:after="0"/>
        <w:ind w:right="-60" w:hanging="0"/>
        <w:jc w:val="center"/>
        <w:rPr>
          <w:sz w:val="28"/>
          <w:szCs w:val="28"/>
        </w:rPr>
      </w:pPr>
      <w:r>
        <w:rPr>
          <w:sz w:val="28"/>
          <w:szCs w:val="28"/>
        </w:rPr>
        <w:t>United Nations Office for Project Services (“UNOPS”)</w:t>
      </w:r>
    </w:p>
    <w:p>
      <w:pPr>
        <w:pStyle w:val="Normal"/>
        <w:spacing w:before="0" w:after="360"/>
        <w:ind w:right="-1800" w:hanging="0"/>
        <w:rPr>
          <w:sz w:val="60"/>
          <w:szCs w:val="60"/>
        </w:rPr>
      </w:pPr>
      <w:r>
        <w:rPr>
          <w:sz w:val="60"/>
          <w:szCs w:val="60"/>
        </w:rPr>
      </w:r>
    </w:p>
    <w:p>
      <w:pPr>
        <w:pStyle w:val="Normal"/>
        <w:spacing w:lineRule="auto" w:line="288" w:before="0" w:after="0"/>
        <w:rPr>
          <w:sz w:val="17"/>
          <w:szCs w:val="17"/>
        </w:rPr>
      </w:pPr>
      <w:r>
        <w:rPr>
          <w:sz w:val="17"/>
          <w:szCs w:val="17"/>
        </w:rPr>
      </w:r>
    </w:p>
    <w:p>
      <w:pPr>
        <w:pStyle w:val="Normal"/>
        <w:spacing w:lineRule="auto" w:line="288" w:before="0" w:after="0"/>
        <w:rPr>
          <w:sz w:val="17"/>
          <w:szCs w:val="17"/>
        </w:rPr>
      </w:pPr>
      <w:r>
        <w:rPr>
          <w:sz w:val="17"/>
          <w:szCs w:val="17"/>
        </w:rPr>
      </w:r>
    </w:p>
    <w:p>
      <w:pPr>
        <w:pStyle w:val="Normal"/>
        <w:spacing w:lineRule="auto" w:line="288" w:before="0" w:after="0"/>
        <w:rPr>
          <w:sz w:val="17"/>
          <w:szCs w:val="17"/>
        </w:rPr>
      </w:pPr>
      <w:r>
        <w:rPr>
          <w:sz w:val="17"/>
          <w:szCs w:val="17"/>
        </w:rPr>
      </w:r>
    </w:p>
    <w:p>
      <w:pPr>
        <w:pStyle w:val="Normal"/>
        <w:spacing w:lineRule="auto" w:line="288" w:before="0" w:after="0"/>
        <w:rPr>
          <w:sz w:val="17"/>
          <w:szCs w:val="17"/>
        </w:rPr>
      </w:pPr>
      <w:r>
        <w:rPr>
          <w:sz w:val="17"/>
          <w:szCs w:val="17"/>
        </w:rPr>
      </w:r>
    </w:p>
    <w:p>
      <w:pPr>
        <w:pStyle w:val="Normal"/>
        <w:spacing w:lineRule="auto" w:line="288" w:before="0" w:after="0"/>
        <w:rPr>
          <w:sz w:val="17"/>
          <w:szCs w:val="17"/>
        </w:rPr>
      </w:pPr>
      <w:r>
        <w:rPr>
          <w:sz w:val="17"/>
          <w:szCs w:val="17"/>
        </w:rPr>
      </w:r>
    </w:p>
    <w:p>
      <w:pPr>
        <w:pStyle w:val="Normal"/>
        <w:spacing w:lineRule="auto" w:line="288" w:before="0" w:after="0"/>
        <w:rPr>
          <w:sz w:val="17"/>
          <w:szCs w:val="17"/>
        </w:rPr>
      </w:pPr>
      <w:r>
        <w:rPr>
          <w:sz w:val="17"/>
          <w:szCs w:val="17"/>
        </w:rPr>
      </w:r>
    </w:p>
    <w:p>
      <w:pPr>
        <w:pStyle w:val="Normal"/>
        <w:spacing w:lineRule="auto" w:line="288" w:before="0" w:after="0"/>
        <w:rPr>
          <w:b/>
          <w:b/>
          <w:sz w:val="28"/>
          <w:szCs w:val="28"/>
        </w:rPr>
      </w:pPr>
      <w:r>
        <w:rPr>
          <w:b/>
          <w:sz w:val="28"/>
          <w:szCs w:val="28"/>
        </w:rPr>
        <w:t>Invitation to Bid</w:t>
      </w:r>
    </w:p>
    <w:p>
      <w:pPr>
        <w:pStyle w:val="Normal"/>
        <w:spacing w:lineRule="auto" w:line="288" w:before="0" w:after="0"/>
        <w:rPr>
          <w:sz w:val="20"/>
          <w:szCs w:val="20"/>
        </w:rPr>
      </w:pPr>
      <w:r>
        <w:rPr>
          <w:sz w:val="20"/>
          <w:szCs w:val="20"/>
        </w:rPr>
        <w:t>Minor Works Contract</w:t>
      </w:r>
    </w:p>
    <w:p>
      <w:pPr>
        <w:pStyle w:val="Normal"/>
        <w:spacing w:lineRule="auto" w:line="288" w:before="0" w:after="0"/>
        <w:rPr>
          <w:sz w:val="20"/>
          <w:szCs w:val="20"/>
        </w:rPr>
      </w:pPr>
      <w:r>
        <w:rPr>
          <w:sz w:val="20"/>
          <w:szCs w:val="20"/>
        </w:rPr>
      </w:r>
    </w:p>
    <w:tbl>
      <w:tblPr>
        <w:tblStyle w:val="a5"/>
        <w:tblW w:w="9090" w:type="dxa"/>
        <w:jc w:val="left"/>
        <w:tblInd w:w="105" w:type="dxa"/>
        <w:tblLayout w:type="fixed"/>
        <w:tblCellMar>
          <w:top w:w="0" w:type="dxa"/>
          <w:left w:w="108" w:type="dxa"/>
          <w:bottom w:w="0" w:type="dxa"/>
          <w:right w:w="108" w:type="dxa"/>
        </w:tblCellMar>
        <w:tblLook w:firstRow="0" w:noVBand="1" w:lastRow="0" w:firstColumn="0" w:lastColumn="0" w:noHBand="0" w:val="0400"/>
      </w:tblPr>
      <w:tblGrid>
        <w:gridCol w:w="2217"/>
        <w:gridCol w:w="6872"/>
      </w:tblGrid>
      <w:tr>
        <w:trPr>
          <w:trHeight w:val="240" w:hRule="atLeast"/>
          <w:cnfStyle w:val="000000100000" w:firstRow="0" w:lastRow="0" w:firstColumn="0" w:lastColumn="0" w:oddVBand="0" w:evenVBand="0" w:oddHBand="1" w:evenHBand="0" w:firstRowFirstColumn="0" w:firstRowLastColumn="0" w:lastRowFirstColumn="0" w:lastRowLastColumn="0"/>
        </w:trPr>
        <w:tc>
          <w:tcPr>
            <w:tcW w:w="2217" w:type="dxa"/>
            <w:tcBorders>
              <w:top w:val="single" w:sz="8" w:space="0" w:color="0092D1"/>
              <w:left w:val="single" w:sz="8" w:space="0" w:color="0092D1"/>
              <w:bottom w:val="single" w:sz="8" w:space="0" w:color="FFFFFF"/>
            </w:tcBorders>
            <w:shd w:color="auto" w:fill="0092D1" w:val="clear"/>
            <w:vAlign w:val="center"/>
          </w:tcPr>
          <w:p>
            <w:pPr>
              <w:pStyle w:val="Normal"/>
              <w:widowControl w:val="false"/>
              <w:spacing w:before="0" w:after="100"/>
              <w:rPr>
                <w:b/>
                <w:b/>
                <w:color w:val="FFFFFF"/>
              </w:rPr>
            </w:pPr>
            <w:r>
              <w:rPr>
                <w:b/>
                <w:color w:val="FFFFFF"/>
              </w:rPr>
              <w:t xml:space="preserve">Contract No.: </w:t>
            </w:r>
          </w:p>
        </w:tc>
        <w:tc>
          <w:tcPr>
            <w:tcW w:w="6872" w:type="dxa"/>
            <w:tcBorders>
              <w:right w:val="dashed" w:sz="8" w:space="0" w:color="0092D1"/>
            </w:tcBorders>
            <w:vAlign w:val="center"/>
          </w:tcPr>
          <w:p>
            <w:pPr>
              <w:pStyle w:val="Normal"/>
              <w:widowControl w:val="false"/>
              <w:spacing w:before="0" w:after="100"/>
              <w:rPr>
                <w:color w:val="808080"/>
              </w:rPr>
            </w:pPr>
            <w:r>
              <w:rPr>
                <w:color w:val="808080"/>
              </w:rPr>
              <w:t>[Insert Contract Number]</w:t>
            </w:r>
          </w:p>
        </w:tc>
      </w:tr>
      <w:tr>
        <w:trPr>
          <w:trHeight w:val="240" w:hRule="atLeast"/>
          <w:cnfStyle w:val="000000010000" w:firstRow="0" w:lastRow="0" w:firstColumn="0" w:lastColumn="0" w:oddVBand="0" w:evenVBand="0" w:oddHBand="0" w:evenHBand="1" w:firstRowFirstColumn="0" w:firstRowLastColumn="0" w:lastRowFirstColumn="0" w:lastRowLastColumn="0"/>
        </w:trPr>
        <w:tc>
          <w:tcPr>
            <w:tcW w:w="2217" w:type="dxa"/>
            <w:tcBorders>
              <w:top w:val="single" w:sz="8" w:space="0" w:color="FFFFFF"/>
              <w:left w:val="single" w:sz="8" w:space="0" w:color="0092D1"/>
              <w:bottom w:val="single" w:sz="8" w:space="0" w:color="FFFFFF"/>
            </w:tcBorders>
            <w:shd w:color="auto" w:fill="0092D1" w:val="clear"/>
            <w:vAlign w:val="center"/>
          </w:tcPr>
          <w:p>
            <w:pPr>
              <w:pStyle w:val="Normal"/>
              <w:widowControl w:val="false"/>
              <w:spacing w:before="0" w:after="100"/>
              <w:rPr>
                <w:b/>
                <w:b/>
                <w:color w:val="FFFFFF"/>
              </w:rPr>
            </w:pPr>
            <w:r>
              <w:rPr>
                <w:b/>
                <w:color w:val="FFFFFF"/>
              </w:rPr>
              <w:t xml:space="preserve">Date of Issuance: </w:t>
            </w:r>
          </w:p>
        </w:tc>
        <w:tc>
          <w:tcPr>
            <w:tcW w:w="6872" w:type="dxa"/>
            <w:tcBorders>
              <w:right w:val="dashed" w:sz="8" w:space="0" w:color="0092D1"/>
            </w:tcBorders>
            <w:vAlign w:val="center"/>
          </w:tcPr>
          <w:p>
            <w:pPr>
              <w:pStyle w:val="Normal"/>
              <w:widowControl w:val="false"/>
              <w:spacing w:before="0" w:after="100"/>
              <w:rPr>
                <w:color w:val="808080"/>
                <w:lang w:val="en-US"/>
              </w:rPr>
            </w:pPr>
            <w:r>
              <w:rPr>
                <w:color w:val="808080"/>
                <w:lang w:val="en-US"/>
              </w:rPr>
              <w:t>9 October 2020</w:t>
            </w:r>
          </w:p>
        </w:tc>
      </w:tr>
      <w:tr>
        <w:trPr>
          <w:trHeight w:val="240" w:hRule="atLeast"/>
          <w:cnfStyle w:val="000000100000" w:firstRow="0" w:lastRow="0" w:firstColumn="0" w:lastColumn="0" w:oddVBand="0" w:evenVBand="0" w:oddHBand="1" w:evenHBand="0" w:firstRowFirstColumn="0" w:firstRowLastColumn="0" w:lastRowFirstColumn="0" w:lastRowLastColumn="0"/>
        </w:trPr>
        <w:tc>
          <w:tcPr>
            <w:tcW w:w="2217" w:type="dxa"/>
            <w:tcBorders>
              <w:top w:val="single" w:sz="8" w:space="0" w:color="FFFFFF"/>
              <w:left w:val="single" w:sz="8" w:space="0" w:color="0092D1"/>
              <w:bottom w:val="single" w:sz="8" w:space="0" w:color="FFFFFF"/>
            </w:tcBorders>
            <w:shd w:color="auto" w:fill="0092D1" w:val="clear"/>
            <w:vAlign w:val="center"/>
          </w:tcPr>
          <w:p>
            <w:pPr>
              <w:pStyle w:val="Normal"/>
              <w:widowControl w:val="false"/>
              <w:spacing w:before="0" w:after="100"/>
              <w:rPr>
                <w:b/>
                <w:b/>
                <w:color w:val="FFFFFF"/>
              </w:rPr>
            </w:pPr>
            <w:r>
              <w:rPr>
                <w:b/>
                <w:color w:val="FFFFFF"/>
              </w:rPr>
              <w:t xml:space="preserve">ITB Case No.: </w:t>
            </w:r>
          </w:p>
        </w:tc>
        <w:tc>
          <w:tcPr>
            <w:tcW w:w="6872" w:type="dxa"/>
            <w:tcBorders>
              <w:right w:val="dashed" w:sz="8" w:space="0" w:color="0092D1"/>
            </w:tcBorders>
            <w:vAlign w:val="center"/>
          </w:tcPr>
          <w:p>
            <w:pPr>
              <w:pStyle w:val="Normal"/>
              <w:widowControl w:val="false"/>
              <w:spacing w:before="0" w:after="100"/>
              <w:rPr>
                <w:color w:val="808080"/>
                <w:lang w:val="en-US"/>
              </w:rPr>
            </w:pPr>
            <w:r>
              <w:rPr>
                <w:color w:val="808080"/>
                <w:lang w:val="en-US"/>
              </w:rPr>
              <w:t>ITB/2020/16308</w:t>
            </w:r>
          </w:p>
        </w:tc>
      </w:tr>
    </w:tbl>
    <w:p>
      <w:pPr>
        <w:sectPr>
          <w:headerReference w:type="default" r:id="rId2"/>
          <w:headerReference w:type="first" r:id="rId3"/>
          <w:footerReference w:type="default" r:id="rId4"/>
          <w:footerReference w:type="first" r:id="rId5"/>
          <w:type w:val="nextPage"/>
          <w:pgSz w:w="11906" w:h="16838"/>
          <w:pgMar w:left="1440" w:right="1440" w:header="0" w:top="1440" w:footer="0" w:bottom="1440" w:gutter="0"/>
          <w:pgNumType w:start="1" w:fmt="decimal"/>
          <w:formProt w:val="false"/>
          <w:titlePg/>
          <w:textDirection w:val="lrTb"/>
          <w:docGrid w:type="default" w:linePitch="100" w:charSpace="4096"/>
        </w:sectPr>
      </w:pPr>
    </w:p>
    <w:p>
      <w:pPr>
        <w:pStyle w:val="Normal"/>
        <w:spacing w:before="120" w:after="120"/>
        <w:jc w:val="center"/>
        <w:rPr>
          <w:b/>
          <w:b/>
        </w:rPr>
      </w:pPr>
      <w:r>
        <w:rPr>
          <w:b/>
        </w:rPr>
        <w:t>CONTENTS</w:t>
      </w:r>
    </w:p>
    <w:p>
      <w:pPr>
        <w:pStyle w:val="Normal"/>
        <w:numPr>
          <w:ilvl w:val="0"/>
          <w:numId w:val="16"/>
        </w:numPr>
        <w:tabs>
          <w:tab w:val="clear" w:pos="720"/>
          <w:tab w:val="left" w:pos="2835" w:leader="none"/>
          <w:tab w:val="right" w:pos="9072" w:leader="none"/>
        </w:tabs>
        <w:spacing w:before="120" w:after="120"/>
        <w:rPr>
          <w:smallCaps/>
          <w:color w:val="000000"/>
        </w:rPr>
      </w:pPr>
      <w:r>
        <w:rPr>
          <w:b/>
          <w:smallCaps/>
          <w:color w:val="000000"/>
        </w:rPr>
        <w:t>INVITATION LETTER</w:t>
      </w:r>
      <w:r>
        <w:rPr>
          <w:smallCaps/>
          <w:color w:val="000000"/>
        </w:rPr>
        <w:tab/>
      </w:r>
    </w:p>
    <w:p>
      <w:pPr>
        <w:pStyle w:val="Normal"/>
        <w:numPr>
          <w:ilvl w:val="0"/>
          <w:numId w:val="16"/>
        </w:numPr>
        <w:tabs>
          <w:tab w:val="clear" w:pos="720"/>
          <w:tab w:val="left" w:pos="2835" w:leader="none"/>
          <w:tab w:val="right" w:pos="9072" w:leader="none"/>
        </w:tabs>
        <w:spacing w:before="120" w:after="120"/>
        <w:rPr>
          <w:smallCaps/>
          <w:color w:val="000000"/>
        </w:rPr>
      </w:pPr>
      <w:r>
        <w:rPr>
          <w:b/>
          <w:smallCaps/>
          <w:color w:val="000000"/>
        </w:rPr>
        <w:t>SECTION I – BID PARTICULARS</w:t>
        <w:tab/>
      </w:r>
    </w:p>
    <w:p>
      <w:pPr>
        <w:pStyle w:val="Normal"/>
        <w:numPr>
          <w:ilvl w:val="0"/>
          <w:numId w:val="16"/>
        </w:numPr>
        <w:tabs>
          <w:tab w:val="clear" w:pos="720"/>
          <w:tab w:val="left" w:pos="2835" w:leader="none"/>
          <w:tab w:val="right" w:pos="9072" w:leader="none"/>
        </w:tabs>
        <w:spacing w:before="120" w:after="120"/>
        <w:rPr>
          <w:smallCaps/>
          <w:color w:val="000000"/>
        </w:rPr>
      </w:pPr>
      <w:r>
        <w:rPr>
          <w:b/>
          <w:smallCaps/>
          <w:color w:val="000000"/>
        </w:rPr>
        <w:t>SECTION II – INSTRUCTIONS TO BIDDERS</w:t>
        <w:tab/>
      </w:r>
    </w:p>
    <w:p>
      <w:pPr>
        <w:pStyle w:val="Normal"/>
        <w:numPr>
          <w:ilvl w:val="0"/>
          <w:numId w:val="16"/>
        </w:numPr>
        <w:tabs>
          <w:tab w:val="clear" w:pos="720"/>
          <w:tab w:val="left" w:pos="2835" w:leader="none"/>
          <w:tab w:val="right" w:pos="9072" w:leader="none"/>
        </w:tabs>
        <w:spacing w:before="120" w:after="120"/>
        <w:rPr>
          <w:smallCaps/>
          <w:color w:val="000000"/>
        </w:rPr>
      </w:pPr>
      <w:r>
        <w:rPr>
          <w:b/>
          <w:smallCaps/>
          <w:color w:val="000000"/>
        </w:rPr>
        <w:t>SECTION III – EVALUATION METHOD AND CRITERIA</w:t>
        <w:tab/>
      </w:r>
    </w:p>
    <w:p>
      <w:pPr>
        <w:pStyle w:val="Normal"/>
        <w:numPr>
          <w:ilvl w:val="0"/>
          <w:numId w:val="16"/>
        </w:numPr>
        <w:tabs>
          <w:tab w:val="clear" w:pos="720"/>
          <w:tab w:val="left" w:pos="2835" w:leader="none"/>
          <w:tab w:val="right" w:pos="9072" w:leader="none"/>
        </w:tabs>
        <w:spacing w:before="120" w:after="120"/>
        <w:rPr>
          <w:smallCaps/>
          <w:color w:val="000000"/>
        </w:rPr>
      </w:pPr>
      <w:r>
        <w:rPr>
          <w:b/>
          <w:smallCaps/>
          <w:color w:val="000000"/>
        </w:rPr>
        <w:t>SECTION IV – RETURNABLE BID SCHEDULES</w:t>
        <w:tab/>
      </w:r>
    </w:p>
    <w:p>
      <w:pPr>
        <w:pStyle w:val="Normal"/>
        <w:tabs>
          <w:tab w:val="clear" w:pos="720"/>
          <w:tab w:val="left" w:pos="2835" w:leader="none"/>
          <w:tab w:val="right" w:pos="9072" w:leader="none"/>
        </w:tabs>
        <w:spacing w:before="120" w:after="120"/>
        <w:ind w:left="720" w:hanging="0"/>
        <w:rPr>
          <w:color w:val="000000"/>
        </w:rPr>
      </w:pPr>
      <w:r>
        <w:rPr>
          <w:color w:val="000000"/>
        </w:rPr>
        <w:t>SCHEDULE 1</w:t>
        <w:tab/>
        <w:t>Form of Bid</w:t>
        <w:tab/>
      </w:r>
    </w:p>
    <w:p>
      <w:pPr>
        <w:pStyle w:val="Normal"/>
        <w:tabs>
          <w:tab w:val="clear" w:pos="720"/>
          <w:tab w:val="left" w:pos="2835" w:leader="none"/>
          <w:tab w:val="right" w:pos="9072" w:leader="none"/>
        </w:tabs>
        <w:spacing w:before="120" w:after="120"/>
        <w:ind w:left="720" w:hanging="0"/>
        <w:rPr>
          <w:color w:val="000000"/>
        </w:rPr>
      </w:pPr>
      <w:r>
        <w:rPr>
          <w:color w:val="000000"/>
        </w:rPr>
        <w:t>SCHEDULE 2</w:t>
        <w:tab/>
        <w:t>Bidder’s Details</w:t>
        <w:tab/>
      </w:r>
    </w:p>
    <w:p>
      <w:pPr>
        <w:pStyle w:val="Normal"/>
        <w:tabs>
          <w:tab w:val="clear" w:pos="720"/>
          <w:tab w:val="left" w:pos="2835" w:leader="none"/>
          <w:tab w:val="right" w:pos="9072" w:leader="none"/>
        </w:tabs>
        <w:spacing w:before="120" w:after="120"/>
        <w:ind w:left="2880" w:hanging="2160"/>
        <w:rPr>
          <w:color w:val="000000"/>
        </w:rPr>
      </w:pPr>
      <w:r>
        <w:rPr>
          <w:color w:val="000000"/>
        </w:rPr>
        <w:t xml:space="preserve">SCHEDULE 3 </w:t>
        <w:tab/>
        <w:t>Bill of Quantities</w:t>
        <w:tab/>
      </w:r>
    </w:p>
    <w:p>
      <w:pPr>
        <w:pStyle w:val="Normal"/>
        <w:tabs>
          <w:tab w:val="clear" w:pos="720"/>
          <w:tab w:val="left" w:pos="2880" w:leader="none"/>
          <w:tab w:val="right" w:pos="9072" w:leader="none"/>
        </w:tabs>
        <w:spacing w:before="120" w:after="120"/>
        <w:ind w:left="2880" w:hanging="2160"/>
        <w:rPr>
          <w:color w:val="000000"/>
        </w:rPr>
      </w:pPr>
      <w:r>
        <w:rPr>
          <w:color w:val="000000"/>
        </w:rPr>
        <w:t xml:space="preserve">SCHEDULE 4 </w:t>
        <w:tab/>
        <w:t>Bidder Preliminary Programmes and Outline Statement of Proposed Methods</w:t>
        <w:tab/>
      </w:r>
    </w:p>
    <w:p>
      <w:pPr>
        <w:pStyle w:val="Normal"/>
        <w:tabs>
          <w:tab w:val="clear" w:pos="720"/>
          <w:tab w:val="left" w:pos="2835" w:leader="none"/>
          <w:tab w:val="right" w:pos="9072" w:leader="none"/>
        </w:tabs>
        <w:spacing w:before="120" w:after="120"/>
        <w:ind w:left="720" w:hanging="0"/>
        <w:rPr>
          <w:smallCaps/>
          <w:color w:val="000000"/>
        </w:rPr>
      </w:pPr>
      <w:r>
        <w:rPr>
          <w:color w:val="000000"/>
        </w:rPr>
        <w:t xml:space="preserve">SCHEDULE 5 </w:t>
        <w:tab/>
        <w:t>Proposed Project Team</w:t>
        <w:tab/>
      </w:r>
    </w:p>
    <w:p>
      <w:pPr>
        <w:pStyle w:val="Normal"/>
        <w:tabs>
          <w:tab w:val="clear" w:pos="720"/>
          <w:tab w:val="left" w:pos="2835" w:leader="none"/>
          <w:tab w:val="right" w:pos="9072" w:leader="none"/>
        </w:tabs>
        <w:spacing w:before="120" w:after="120"/>
        <w:ind w:left="720" w:hanging="0"/>
        <w:rPr>
          <w:color w:val="000000"/>
        </w:rPr>
      </w:pPr>
      <w:r>
        <w:rPr>
          <w:color w:val="000000"/>
        </w:rPr>
        <w:t xml:space="preserve">SCHEDULE 6 </w:t>
        <w:tab/>
        <w:t>Insurances</w:t>
        <w:tab/>
      </w:r>
    </w:p>
    <w:p>
      <w:pPr>
        <w:pStyle w:val="Normal"/>
        <w:tabs>
          <w:tab w:val="clear" w:pos="720"/>
          <w:tab w:val="left" w:pos="2835" w:leader="none"/>
          <w:tab w:val="right" w:pos="9072" w:leader="none"/>
        </w:tabs>
        <w:spacing w:before="120" w:after="120"/>
        <w:ind w:left="720" w:hanging="0"/>
        <w:rPr>
          <w:color w:val="000000"/>
        </w:rPr>
      </w:pPr>
      <w:r>
        <w:rPr>
          <w:color w:val="000000"/>
        </w:rPr>
        <w:t xml:space="preserve">SCHEDULE 7 </w:t>
        <w:tab/>
        <w:t>Capacities, Experience, Work in Hand and Work Completed</w:t>
        <w:tab/>
      </w:r>
    </w:p>
    <w:p>
      <w:pPr>
        <w:pStyle w:val="Normal"/>
        <w:tabs>
          <w:tab w:val="clear" w:pos="720"/>
          <w:tab w:val="left" w:pos="2835" w:leader="none"/>
          <w:tab w:val="right" w:pos="9072" w:leader="none"/>
        </w:tabs>
        <w:spacing w:before="120" w:after="120"/>
        <w:ind w:left="720" w:hanging="0"/>
        <w:rPr>
          <w:color w:val="000000"/>
        </w:rPr>
      </w:pPr>
      <w:r>
        <w:rPr>
          <w:color w:val="000000"/>
        </w:rPr>
        <w:t>SCHEDULE 8</w:t>
        <w:tab/>
        <w:t>Declaration</w:t>
        <w:tab/>
      </w:r>
    </w:p>
    <w:p>
      <w:pPr>
        <w:pStyle w:val="Normal"/>
        <w:tabs>
          <w:tab w:val="clear" w:pos="720"/>
          <w:tab w:val="left" w:pos="2835" w:leader="none"/>
          <w:tab w:val="right" w:pos="9072" w:leader="none"/>
        </w:tabs>
        <w:spacing w:before="120" w:after="120"/>
        <w:ind w:left="720" w:hanging="0"/>
        <w:rPr>
          <w:color w:val="000000"/>
        </w:rPr>
      </w:pPr>
      <w:r>
        <w:rPr>
          <w:color w:val="000000"/>
        </w:rPr>
        <w:t xml:space="preserve">SCHEDULE 9 </w:t>
        <w:tab/>
        <w:t>Conflicts of Interest</w:t>
        <w:tab/>
      </w:r>
    </w:p>
    <w:p>
      <w:pPr>
        <w:pStyle w:val="Normal"/>
        <w:tabs>
          <w:tab w:val="clear" w:pos="720"/>
          <w:tab w:val="left" w:pos="2835" w:leader="none"/>
          <w:tab w:val="right" w:pos="9072" w:leader="none"/>
        </w:tabs>
        <w:spacing w:before="120" w:after="120"/>
        <w:ind w:left="720" w:hanging="0"/>
        <w:rPr>
          <w:color w:val="000000"/>
        </w:rPr>
      </w:pPr>
      <w:r>
        <w:rPr>
          <w:color w:val="000000"/>
        </w:rPr>
        <w:t>SCHEDULE 1</w:t>
      </w:r>
      <w:r>
        <w:rPr>
          <w:color w:val="000000"/>
          <w:lang w:val="en-US"/>
        </w:rPr>
        <w:t>0</w:t>
      </w:r>
      <w:r>
        <w:rPr>
          <w:color w:val="000000"/>
        </w:rPr>
        <w:tab/>
        <w:t>Addenda to ITB</w:t>
        <w:tab/>
      </w:r>
    </w:p>
    <w:p>
      <w:pPr>
        <w:sectPr>
          <w:headerReference w:type="default" r:id="rId6"/>
          <w:footerReference w:type="default" r:id="rId7"/>
          <w:type w:val="nextPage"/>
          <w:pgSz w:w="11906" w:h="16838"/>
          <w:pgMar w:left="1440" w:right="1440" w:header="432" w:top="1440" w:footer="389" w:bottom="1440" w:gutter="0"/>
          <w:pgNumType w:fmt="decimal"/>
          <w:formProt w:val="false"/>
          <w:textDirection w:val="lrTb"/>
          <w:docGrid w:type="default" w:linePitch="100" w:charSpace="4096"/>
        </w:sectPr>
        <w:pStyle w:val="Normal"/>
        <w:numPr>
          <w:ilvl w:val="0"/>
          <w:numId w:val="16"/>
        </w:numPr>
        <w:tabs>
          <w:tab w:val="clear" w:pos="720"/>
          <w:tab w:val="left" w:pos="2835" w:leader="none"/>
          <w:tab w:val="right" w:pos="9072" w:leader="none"/>
        </w:tabs>
        <w:spacing w:before="120" w:after="120"/>
        <w:rPr>
          <w:color w:val="000000"/>
        </w:rPr>
      </w:pPr>
      <w:r>
        <w:rPr>
          <w:b/>
          <w:smallCaps/>
          <w:color w:val="000000"/>
        </w:rPr>
        <w:t>SECTION V – UNOPS MINOR WORKS CONSTRUCTION CONTRACT</w:t>
      </w:r>
      <w:r>
        <w:rPr>
          <w:smallCaps/>
          <w:color w:val="000000"/>
        </w:rPr>
        <w:tab/>
      </w:r>
    </w:p>
    <w:p>
      <w:pPr>
        <w:pStyle w:val="Normal"/>
        <w:spacing w:before="0" w:after="0"/>
        <w:jc w:val="center"/>
        <w:rPr>
          <w:b/>
          <w:b/>
          <w:smallCaps/>
          <w:color w:val="000000"/>
        </w:rPr>
      </w:pPr>
      <w:r>
        <w:rPr>
          <w:b/>
          <w:smallCaps/>
          <w:color w:val="000000"/>
        </w:rPr>
        <w:t>INVITATION LETTER</w:t>
      </w:r>
    </w:p>
    <w:p>
      <w:pPr>
        <w:pStyle w:val="Normal"/>
        <w:tabs>
          <w:tab w:val="left" w:pos="720" w:leader="none"/>
        </w:tabs>
        <w:spacing w:before="0" w:after="0"/>
        <w:rPr>
          <w:color w:val="000000"/>
        </w:rPr>
      </w:pPr>
      <w:r>
        <w:rPr>
          <w:color w:val="000000"/>
        </w:rPr>
      </w:r>
      <w:bookmarkStart w:id="0" w:name="_gjdgxs"/>
      <w:bookmarkStart w:id="1" w:name="_gjdgxs"/>
      <w:bookmarkEnd w:id="1"/>
    </w:p>
    <w:p>
      <w:pPr>
        <w:pStyle w:val="Normal"/>
        <w:tabs>
          <w:tab w:val="left" w:pos="720" w:leader="none"/>
        </w:tabs>
        <w:spacing w:before="0" w:after="0"/>
        <w:jc w:val="both"/>
        <w:rPr>
          <w:color w:val="000000"/>
        </w:rPr>
      </w:pPr>
      <w:r>
        <w:rPr>
          <w:color w:val="000000"/>
        </w:rPr>
        <w:t>Dear Sir/Madam,</w:t>
      </w:r>
    </w:p>
    <w:p>
      <w:pPr>
        <w:pStyle w:val="Normal"/>
        <w:tabs>
          <w:tab w:val="left" w:pos="720" w:leader="none"/>
        </w:tabs>
        <w:spacing w:before="0" w:after="0"/>
        <w:jc w:val="both"/>
        <w:rPr>
          <w:color w:val="000000"/>
        </w:rPr>
      </w:pPr>
      <w:r>
        <w:rPr>
          <w:color w:val="000000"/>
        </w:rPr>
        <w:t xml:space="preserve"> </w:t>
      </w:r>
    </w:p>
    <w:p>
      <w:pPr>
        <w:pStyle w:val="Normal"/>
        <w:spacing w:before="0" w:after="0"/>
        <w:jc w:val="both"/>
        <w:rPr>
          <w:color w:val="000000"/>
        </w:rPr>
      </w:pPr>
      <w:r>
        <w:rPr>
          <w:b/>
          <w:color w:val="000000"/>
        </w:rPr>
        <w:t>Subject: Invitation to Bid for the Construction of</w:t>
      </w:r>
      <w:r>
        <w:rPr>
          <w:color w:val="000000"/>
        </w:rPr>
        <w:t xml:space="preserve"> </w:t>
      </w:r>
      <w:r>
        <w:rPr>
          <w:b/>
          <w:i/>
          <w:color w:val="000000"/>
        </w:rPr>
        <w:t xml:space="preserve">Installing additional </w:t>
      </w:r>
      <w:r>
        <w:rPr>
          <w:b/>
          <w:i/>
          <w:color w:val="000000"/>
          <w:lang w:val="ru-UA"/>
        </w:rPr>
        <w:t xml:space="preserve">16 </w:t>
      </w:r>
      <w:r>
        <w:rPr>
          <w:b/>
          <w:i/>
          <w:color w:val="000000"/>
        </w:rPr>
        <w:t>modules to existing check-points and community policing posts of the MDNP in Donetsk Region to enhance provision of police services to the population in the post-conflict or adjacent to conflict territories of Donetsk region</w:t>
      </w:r>
      <w:r>
        <w:rPr>
          <w:i/>
          <w:color w:val="000000"/>
        </w:rPr>
        <w:t xml:space="preserve"> – </w:t>
      </w:r>
      <w:r>
        <w:rPr>
          <w:b/>
          <w:color w:val="000000"/>
        </w:rPr>
        <w:t xml:space="preserve">ITB Case No.: </w:t>
      </w:r>
      <w:r>
        <w:rPr>
          <w:b/>
          <w:bCs/>
          <w:color w:val="000000"/>
        </w:rPr>
        <w:t>ITB/2020/</w:t>
      </w:r>
      <w:r>
        <w:rPr>
          <w:b/>
          <w:bCs/>
          <w:color w:val="000000"/>
          <w:lang w:val="en-US"/>
        </w:rPr>
        <w:t>16308</w:t>
      </w:r>
    </w:p>
    <w:p>
      <w:pPr>
        <w:pStyle w:val="Normal"/>
        <w:spacing w:before="0" w:after="0"/>
        <w:jc w:val="both"/>
        <w:rPr>
          <w:i/>
          <w:i/>
          <w:color w:val="000000"/>
        </w:rPr>
      </w:pPr>
      <w:r>
        <w:rPr>
          <w:i/>
          <w:color w:val="000000"/>
        </w:rPr>
      </w:r>
    </w:p>
    <w:p>
      <w:pPr>
        <w:pStyle w:val="Normal"/>
        <w:spacing w:before="0" w:after="0"/>
        <w:jc w:val="both"/>
        <w:rPr>
          <w:color w:val="000000"/>
        </w:rPr>
      </w:pPr>
      <w:bookmarkStart w:id="2" w:name="_30j0zll"/>
      <w:bookmarkEnd w:id="2"/>
      <w:r>
        <w:rPr>
          <w:color w:val="000000"/>
        </w:rPr>
        <w:t>The United Nations Office for Project Services (UNOPS) is pleased to invite prospective bidders to bid in accordance with the requirements and process as set out in this Invitation to Bid (ITB).</w:t>
      </w:r>
    </w:p>
    <w:p>
      <w:pPr>
        <w:pStyle w:val="Normal"/>
        <w:spacing w:before="0" w:after="0"/>
        <w:jc w:val="both"/>
        <w:rPr>
          <w:color w:val="000000"/>
        </w:rPr>
      </w:pPr>
      <w:r>
        <w:rPr>
          <w:color w:val="000000"/>
        </w:rPr>
      </w:r>
    </w:p>
    <w:p>
      <w:pPr>
        <w:pStyle w:val="Normal"/>
        <w:spacing w:before="0" w:after="0"/>
        <w:jc w:val="both"/>
        <w:rPr>
          <w:color w:val="000000"/>
        </w:rPr>
      </w:pPr>
      <w:r>
        <w:rPr>
          <w:color w:val="000000"/>
        </w:rPr>
        <w:t>The ITB consists of the following:</w:t>
      </w:r>
    </w:p>
    <w:p>
      <w:pPr>
        <w:pStyle w:val="Normal"/>
        <w:spacing w:before="0" w:after="0"/>
        <w:jc w:val="both"/>
        <w:rPr>
          <w:color w:val="000000"/>
        </w:rPr>
      </w:pPr>
      <w:r>
        <w:rPr>
          <w:color w:val="000000"/>
        </w:rPr>
        <w:t xml:space="preserve"> </w:t>
      </w:r>
    </w:p>
    <w:p>
      <w:pPr>
        <w:pStyle w:val="Normal"/>
        <w:numPr>
          <w:ilvl w:val="1"/>
          <w:numId w:val="1"/>
        </w:numPr>
        <w:spacing w:before="0" w:after="0"/>
        <w:jc w:val="both"/>
        <w:rPr>
          <w:color w:val="000000"/>
        </w:rPr>
      </w:pPr>
      <w:r>
        <w:rPr>
          <w:color w:val="000000"/>
        </w:rPr>
        <w:t xml:space="preserve">This Invitation Letter; </w:t>
      </w:r>
    </w:p>
    <w:p>
      <w:pPr>
        <w:pStyle w:val="Normal"/>
        <w:numPr>
          <w:ilvl w:val="1"/>
          <w:numId w:val="1"/>
        </w:numPr>
        <w:spacing w:before="0" w:after="0"/>
        <w:jc w:val="both"/>
        <w:rPr>
          <w:color w:val="000000"/>
        </w:rPr>
      </w:pPr>
      <w:r>
        <w:rPr>
          <w:color w:val="000000"/>
        </w:rPr>
        <w:t>Bid Particulars (Section I);</w:t>
      </w:r>
    </w:p>
    <w:p>
      <w:pPr>
        <w:pStyle w:val="Normal"/>
        <w:numPr>
          <w:ilvl w:val="1"/>
          <w:numId w:val="1"/>
        </w:numPr>
        <w:spacing w:before="0" w:after="0"/>
        <w:jc w:val="both"/>
        <w:rPr>
          <w:color w:val="000000"/>
        </w:rPr>
      </w:pPr>
      <w:r>
        <w:rPr>
          <w:color w:val="000000"/>
        </w:rPr>
        <w:t xml:space="preserve">Instructions to Bidders (Section II); </w:t>
      </w:r>
    </w:p>
    <w:p>
      <w:pPr>
        <w:pStyle w:val="Normal"/>
        <w:numPr>
          <w:ilvl w:val="1"/>
          <w:numId w:val="1"/>
        </w:numPr>
        <w:spacing w:before="0" w:after="0"/>
        <w:jc w:val="both"/>
        <w:rPr>
          <w:color w:val="000000"/>
        </w:rPr>
      </w:pPr>
      <w:r>
        <w:rPr>
          <w:color w:val="000000"/>
        </w:rPr>
        <w:t>Evaluation Method and Criteria (Section III);</w:t>
      </w:r>
    </w:p>
    <w:p>
      <w:pPr>
        <w:pStyle w:val="Normal"/>
        <w:numPr>
          <w:ilvl w:val="1"/>
          <w:numId w:val="1"/>
        </w:numPr>
        <w:spacing w:before="0" w:after="0"/>
        <w:jc w:val="both"/>
        <w:rPr>
          <w:color w:val="000000"/>
        </w:rPr>
      </w:pPr>
      <w:r>
        <w:rPr>
          <w:color w:val="000000"/>
        </w:rPr>
        <w:t>Returnable Bid Schedules (Section IV);</w:t>
      </w:r>
    </w:p>
    <w:p>
      <w:pPr>
        <w:pStyle w:val="Normal"/>
        <w:numPr>
          <w:ilvl w:val="1"/>
          <w:numId w:val="1"/>
        </w:numPr>
        <w:spacing w:before="0" w:after="0"/>
        <w:jc w:val="both"/>
        <w:rPr>
          <w:color w:val="000000"/>
        </w:rPr>
      </w:pPr>
      <w:r>
        <w:rPr>
          <w:color w:val="000000"/>
        </w:rPr>
        <w:t>UNOPS Minor Works Contract (the Contract) (Section V).</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A complete set of the above bidding documents in </w:t>
      </w:r>
      <w:r>
        <w:rPr>
          <w:color w:val="000000"/>
          <w:lang w:val="en-US"/>
        </w:rPr>
        <w:t xml:space="preserve">English </w:t>
      </w:r>
      <w:r>
        <w:rPr>
          <w:color w:val="000000"/>
        </w:rPr>
        <w:t xml:space="preserve">may be obtained from UNOPS by downloading them from our website at </w:t>
      </w:r>
      <w:hyperlink r:id="rId8">
        <w:r>
          <w:rPr>
            <w:rStyle w:val="InternetLink"/>
          </w:rPr>
          <w:t>https://esourcing.unops.org/</w:t>
        </w:r>
      </w:hyperlink>
      <w:r>
        <w:rPr>
          <w:color w:val="000000"/>
        </w:rPr>
        <w:t xml:space="preserve">.  </w:t>
      </w:r>
    </w:p>
    <w:p>
      <w:pPr>
        <w:pStyle w:val="Normal"/>
        <w:spacing w:before="0" w:after="0"/>
        <w:jc w:val="both"/>
        <w:rPr>
          <w:color w:val="000000"/>
        </w:rPr>
      </w:pPr>
      <w:r>
        <w:rPr>
          <w:color w:val="000000"/>
        </w:rPr>
      </w:r>
    </w:p>
    <w:p>
      <w:pPr>
        <w:pStyle w:val="Normal"/>
        <w:spacing w:before="0" w:after="0"/>
        <w:jc w:val="both"/>
        <w:rPr>
          <w:color w:val="000000"/>
        </w:rPr>
      </w:pPr>
      <w:r>
        <w:rPr>
          <w:color w:val="000000"/>
        </w:rPr>
        <w:t>If you are interested in submitting a bid in response to this ITB, please prepare your bid in accordance with the requirements and process as set out in this ITB and submit your bid to UNOPS by the Deadline for Bid Submission set out in the Bid Particulars in Section I of the ITB.</w:t>
      </w:r>
    </w:p>
    <w:p>
      <w:pPr>
        <w:pStyle w:val="Normal"/>
        <w:spacing w:before="0" w:after="0"/>
        <w:jc w:val="both"/>
        <w:rPr>
          <w:color w:val="000000"/>
        </w:rPr>
      </w:pPr>
      <w:r>
        <w:rPr>
          <w:color w:val="000000"/>
        </w:rPr>
        <w:t xml:space="preserve"> </w:t>
      </w:r>
    </w:p>
    <w:p>
      <w:pPr>
        <w:pStyle w:val="Normal"/>
        <w:spacing w:before="0" w:after="0"/>
        <w:jc w:val="both"/>
        <w:rPr>
          <w:color w:val="000000"/>
        </w:rPr>
      </w:pPr>
      <w:r>
        <w:rPr>
          <w:color w:val="000000"/>
        </w:rPr>
        <w:t>We look forward to receiving your bid.</w:t>
      </w:r>
    </w:p>
    <w:p>
      <w:pPr>
        <w:pStyle w:val="Normal"/>
        <w:spacing w:before="0" w:after="0"/>
        <w:jc w:val="both"/>
        <w:rPr>
          <w:color w:val="000000"/>
        </w:rPr>
      </w:pPr>
      <w:r>
        <w:rPr>
          <w:color w:val="000000"/>
        </w:rPr>
      </w:r>
    </w:p>
    <w:tbl>
      <w:tblPr>
        <w:tblStyle w:val="a6"/>
        <w:tblW w:w="9242" w:type="dxa"/>
        <w:jc w:val="left"/>
        <w:tblInd w:w="0" w:type="dxa"/>
        <w:tblLayout w:type="fixed"/>
        <w:tblCellMar>
          <w:top w:w="0" w:type="dxa"/>
          <w:left w:w="108" w:type="dxa"/>
          <w:bottom w:w="0" w:type="dxa"/>
          <w:right w:w="108" w:type="dxa"/>
        </w:tblCellMar>
        <w:tblLook w:firstRow="0" w:noVBand="1" w:lastRow="0" w:firstColumn="0" w:lastColumn="0" w:noHBand="0" w:val="0400"/>
      </w:tblPr>
      <w:tblGrid>
        <w:gridCol w:w="9242"/>
      </w:tblGrid>
      <w:tr>
        <w:trPr/>
        <w:tc>
          <w:tcPr>
            <w:tcW w:w="9242" w:type="dxa"/>
            <w:tcBorders/>
          </w:tcPr>
          <w:p>
            <w:pPr>
              <w:pStyle w:val="Normal"/>
              <w:widowControl w:val="false"/>
              <w:tabs>
                <w:tab w:val="left" w:pos="720" w:leader="none"/>
              </w:tabs>
              <w:spacing w:lineRule="auto" w:line="360" w:before="0" w:after="0"/>
              <w:rPr>
                <w:color w:val="000000"/>
              </w:rPr>
            </w:pPr>
            <w:r>
              <w:rPr>
                <w:color w:val="000000"/>
              </w:rPr>
              <w:t xml:space="preserve">Name: </w:t>
              <w:tab/>
              <w:t>____________________________________</w:t>
            </w:r>
          </w:p>
          <w:p>
            <w:pPr>
              <w:pStyle w:val="Normal"/>
              <w:widowControl w:val="false"/>
              <w:tabs>
                <w:tab w:val="left" w:pos="720" w:leader="none"/>
                <w:tab w:val="left" w:pos="4770" w:leader="none"/>
              </w:tabs>
              <w:spacing w:lineRule="auto" w:line="360" w:before="0" w:after="0"/>
              <w:rPr>
                <w:color w:val="000000"/>
              </w:rPr>
            </w:pPr>
            <w:r>
              <w:rPr>
                <w:color w:val="000000"/>
              </w:rPr>
              <w:t xml:space="preserve">Title: </w:t>
              <w:tab/>
              <w:t>____________________________________</w:t>
            </w:r>
          </w:p>
          <w:p>
            <w:pPr>
              <w:pStyle w:val="Normal"/>
              <w:widowControl w:val="false"/>
              <w:tabs>
                <w:tab w:val="left" w:pos="720" w:leader="none"/>
              </w:tabs>
              <w:spacing w:lineRule="auto" w:line="360" w:before="0" w:after="0"/>
              <w:rPr>
                <w:color w:val="000000"/>
              </w:rPr>
            </w:pPr>
            <w:r>
              <w:rPr>
                <w:color w:val="000000"/>
              </w:rPr>
              <w:t xml:space="preserve">Date: </w:t>
              <w:tab/>
              <w:t>____________________________________</w:t>
            </w:r>
          </w:p>
          <w:p>
            <w:pPr>
              <w:pStyle w:val="Normal"/>
              <w:widowControl w:val="false"/>
              <w:spacing w:lineRule="auto" w:line="360" w:before="0" w:after="0"/>
              <w:rPr>
                <w:color w:val="000000"/>
              </w:rPr>
            </w:pPr>
            <w:r>
              <w:rPr>
                <w:color w:val="000000"/>
              </w:rPr>
              <w:t>Signature: __________________________________</w:t>
            </w:r>
          </w:p>
        </w:tc>
      </w:tr>
    </w:tbl>
    <w:p>
      <w:pPr>
        <w:sectPr>
          <w:headerReference w:type="default" r:id="rId9"/>
          <w:footerReference w:type="default" r:id="rId10"/>
          <w:type w:val="nextPage"/>
          <w:pgSz w:w="11906" w:h="16838"/>
          <w:pgMar w:left="1440" w:right="1440" w:header="432" w:top="1440" w:footer="389" w:bottom="1440" w:gutter="0"/>
          <w:pgNumType w:fmt="decimal"/>
          <w:formProt w:val="false"/>
          <w:textDirection w:val="lrTb"/>
          <w:docGrid w:type="default" w:linePitch="100" w:charSpace="4096"/>
        </w:sectPr>
      </w:pPr>
    </w:p>
    <w:p>
      <w:pPr>
        <w:pStyle w:val="Normal"/>
        <w:spacing w:before="0" w:after="0"/>
        <w:jc w:val="center"/>
        <w:rPr>
          <w:b/>
          <w:b/>
          <w:smallCaps/>
          <w:color w:val="000000"/>
        </w:rPr>
      </w:pPr>
      <w:r>
        <w:rPr>
          <w:b/>
          <w:smallCaps/>
          <w:color w:val="000000"/>
        </w:rPr>
        <w:t>SECTION I</w:t>
      </w:r>
    </w:p>
    <w:p>
      <w:pPr>
        <w:pStyle w:val="Normal"/>
        <w:spacing w:before="0" w:after="0"/>
        <w:jc w:val="center"/>
        <w:rPr>
          <w:rFonts w:ascii="Arial" w:hAnsi="Arial" w:eastAsia="Arial" w:cs="Arial"/>
          <w:smallCaps/>
          <w:color w:val="000000"/>
          <w:sz w:val="22"/>
          <w:szCs w:val="22"/>
        </w:rPr>
      </w:pPr>
      <w:r>
        <w:rPr>
          <w:rFonts w:eastAsia="Arial" w:cs="Arial"/>
          <w:smallCaps/>
          <w:color w:val="000000"/>
          <w:sz w:val="22"/>
          <w:szCs w:val="22"/>
        </w:rPr>
      </w:r>
    </w:p>
    <w:p>
      <w:pPr>
        <w:pStyle w:val="Heading3"/>
        <w:spacing w:before="0" w:after="0"/>
        <w:jc w:val="center"/>
        <w:rPr>
          <w:rFonts w:ascii="Arial" w:hAnsi="Arial" w:eastAsia="Arial" w:cs="Arial"/>
          <w:smallCaps/>
          <w:color w:val="000000"/>
          <w:sz w:val="22"/>
          <w:szCs w:val="22"/>
        </w:rPr>
      </w:pPr>
      <w:r>
        <w:rPr>
          <w:rFonts w:eastAsia="Arial" w:cs="Arial" w:ascii="Arial" w:hAnsi="Arial"/>
          <w:smallCaps/>
          <w:color w:val="000000"/>
          <w:sz w:val="22"/>
          <w:szCs w:val="22"/>
        </w:rPr>
        <w:t>BID PARTICULARS</w:t>
      </w:r>
    </w:p>
    <w:p>
      <w:pPr>
        <w:pStyle w:val="Normal"/>
        <w:spacing w:before="0" w:after="0"/>
        <w:jc w:val="center"/>
        <w:rPr>
          <w:rFonts w:ascii="Arial" w:hAnsi="Arial" w:eastAsia="Arial" w:cs="Arial"/>
          <w:smallCaps/>
          <w:color w:val="000000"/>
          <w:sz w:val="22"/>
          <w:szCs w:val="22"/>
        </w:rPr>
      </w:pPr>
      <w:r>
        <w:rPr>
          <w:rFonts w:eastAsia="Arial" w:cs="Arial"/>
          <w:smallCaps/>
          <w:color w:val="000000"/>
          <w:sz w:val="22"/>
          <w:szCs w:val="22"/>
        </w:rPr>
      </w:r>
    </w:p>
    <w:tbl>
      <w:tblPr>
        <w:tblStyle w:val="a7"/>
        <w:tblW w:w="9374" w:type="dxa"/>
        <w:jc w:val="left"/>
        <w:tblInd w:w="-177" w:type="dxa"/>
        <w:tblLayout w:type="fixed"/>
        <w:tblCellMar>
          <w:top w:w="0" w:type="dxa"/>
          <w:left w:w="108" w:type="dxa"/>
          <w:bottom w:w="0" w:type="dxa"/>
          <w:right w:w="108" w:type="dxa"/>
        </w:tblCellMar>
        <w:tblLook w:firstRow="0" w:noVBand="1" w:lastRow="0" w:firstColumn="0" w:lastColumn="0" w:noHBand="0" w:val="0400"/>
      </w:tblPr>
      <w:tblGrid>
        <w:gridCol w:w="2059"/>
        <w:gridCol w:w="7314"/>
      </w:tblGrid>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 xml:space="preserve">Works </w:t>
            </w:r>
          </w:p>
          <w:p>
            <w:pPr>
              <w:pStyle w:val="Normal"/>
              <w:widowControl w:val="false"/>
              <w:spacing w:before="0" w:after="0"/>
              <w:rPr>
                <w:color w:val="000000"/>
              </w:rPr>
            </w:pPr>
            <w:r>
              <w:rPr>
                <w:color w:val="000000"/>
              </w:rPr>
              <w:t>(Article 1)</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Normal"/>
              <w:widowControl w:val="false"/>
              <w:spacing w:before="0" w:after="0"/>
              <w:jc w:val="both"/>
              <w:rPr>
                <w:i/>
                <w:i/>
                <w:color w:val="000000"/>
              </w:rPr>
            </w:pPr>
            <w:r>
              <w:rPr>
                <w:color w:val="000000"/>
              </w:rPr>
              <w:t xml:space="preserve">The works include the construction of </w:t>
            </w:r>
            <w:r>
              <w:rPr>
                <w:b/>
                <w:i/>
                <w:color w:val="000000"/>
              </w:rPr>
              <w:t xml:space="preserve">Installing additional 16 modules to existing check-points and community policing posts of the MDNP in Donetsk Region to enhance provision of police services to the population in the post-conflict or adjacent to conflict territories of Donetsk region in Ukraine </w:t>
            </w:r>
            <w:r>
              <w:rPr>
                <w:color w:val="000000"/>
              </w:rPr>
              <w:t>as further described in Section V of this ITB</w:t>
            </w:r>
            <w:r>
              <w:rPr>
                <w:i/>
                <w:color w:val="000000"/>
              </w:rPr>
              <w:t>.</w:t>
            </w:r>
          </w:p>
          <w:p>
            <w:pPr>
              <w:pStyle w:val="Normal"/>
              <w:widowControl w:val="false"/>
              <w:spacing w:before="0" w:after="0"/>
              <w:jc w:val="both"/>
              <w:rPr>
                <w:color w:val="000000"/>
                <w:highlight w:val="lightGray"/>
              </w:rPr>
            </w:pPr>
            <w:r>
              <w:rPr>
                <w:color w:val="000000"/>
                <w:highlight w:val="lightGray"/>
              </w:rPr>
            </w:r>
          </w:p>
        </w:tc>
      </w:tr>
      <w:tr>
        <w:trPr>
          <w:trHeight w:val="2106" w:hRule="atLeast"/>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Contact person for correspondence, notifications and requests for clarifications</w:t>
            </w:r>
          </w:p>
          <w:p>
            <w:pPr>
              <w:pStyle w:val="Normal"/>
              <w:widowControl w:val="false"/>
              <w:spacing w:before="0" w:after="0"/>
              <w:rPr>
                <w:color w:val="000000"/>
              </w:rPr>
            </w:pPr>
            <w:r>
              <w:rPr>
                <w:color w:val="000000"/>
              </w:rPr>
              <w:t>(Article 1)</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Normal"/>
              <w:widowControl w:val="false"/>
              <w:spacing w:before="0" w:after="0"/>
              <w:jc w:val="both"/>
              <w:rPr>
                <w:color w:val="000000"/>
              </w:rPr>
            </w:pPr>
            <w:r>
              <w:rPr>
                <w:color w:val="000000"/>
              </w:rPr>
              <w:t>All correspondence, notifications and requests for clarifications in relation to this ITB shall be sent to:</w:t>
            </w:r>
          </w:p>
          <w:p>
            <w:pPr>
              <w:pStyle w:val="Normal"/>
              <w:widowControl w:val="false"/>
              <w:tabs>
                <w:tab w:val="clear" w:pos="720"/>
                <w:tab w:val="left" w:pos="0" w:leader="none"/>
                <w:tab w:val="left" w:pos="2127" w:leader="none"/>
              </w:tabs>
              <w:spacing w:before="0" w:after="0"/>
              <w:ind w:left="90" w:hanging="0"/>
              <w:jc w:val="left"/>
              <w:rPr>
                <w:b/>
                <w:b/>
                <w:color w:val="000000"/>
              </w:rPr>
            </w:pPr>
            <w:hyperlink r:id="rId11">
              <w:r>
                <w:rPr>
                  <w:rStyle w:val="InternetLink"/>
                </w:rPr>
                <w:t>https://esourcing.unops.org/</w:t>
              </w:r>
            </w:hyperlink>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Bidder Eligibility</w:t>
            </w:r>
          </w:p>
          <w:p>
            <w:pPr>
              <w:pStyle w:val="Normal"/>
              <w:widowControl w:val="false"/>
              <w:spacing w:before="0" w:after="0"/>
              <w:rPr>
                <w:color w:val="000000"/>
              </w:rPr>
            </w:pPr>
            <w:r>
              <w:rPr>
                <w:color w:val="000000"/>
              </w:rPr>
              <w:t>(Article 4)</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Normal"/>
              <w:widowControl w:val="false"/>
              <w:spacing w:before="0" w:after="0"/>
              <w:jc w:val="both"/>
              <w:rPr>
                <w:color w:val="000000"/>
              </w:rPr>
            </w:pPr>
            <w:r>
              <w:rPr>
                <w:color w:val="000000"/>
              </w:rPr>
              <w:t>No nationalities are excluded from submitting a bid.</w:t>
            </w:r>
          </w:p>
          <w:p>
            <w:pPr>
              <w:pStyle w:val="Normal"/>
              <w:widowControl w:val="false"/>
              <w:spacing w:before="0" w:after="0"/>
              <w:jc w:val="both"/>
              <w:rPr>
                <w:color w:val="000000"/>
              </w:rPr>
            </w:pPr>
            <w:r>
              <w:rPr>
                <w:color w:val="000000"/>
              </w:rPr>
            </w:r>
          </w:p>
          <w:p>
            <w:pPr>
              <w:pStyle w:val="Normal"/>
              <w:widowControl w:val="false"/>
              <w:spacing w:before="0" w:after="0"/>
              <w:jc w:val="both"/>
              <w:rPr>
                <w:b/>
                <w:b/>
                <w:i/>
                <w:i/>
                <w:color w:val="000000"/>
              </w:rPr>
            </w:pPr>
            <w:r>
              <w:rPr>
                <w:b/>
                <w:i/>
                <w:color w:val="000000"/>
              </w:rPr>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 xml:space="preserve">Clarifications </w:t>
            </w:r>
          </w:p>
          <w:p>
            <w:pPr>
              <w:pStyle w:val="Normal"/>
              <w:widowControl w:val="false"/>
              <w:spacing w:before="0" w:after="0"/>
              <w:rPr>
                <w:color w:val="000000"/>
              </w:rPr>
            </w:pPr>
            <w:r>
              <w:rPr>
                <w:color w:val="000000"/>
              </w:rPr>
              <w:t>(Article 8)</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Requests for clarification from bidders will not be accepted any later than</w:t>
            </w:r>
            <w:r>
              <w:rPr>
                <w:color w:val="000000"/>
                <w:lang w:val="en-US"/>
              </w:rPr>
              <w:t xml:space="preserve"> </w:t>
            </w:r>
            <w:r>
              <w:rPr>
                <w:b/>
                <w:i/>
                <w:color w:val="000000"/>
                <w:lang w:val="en-US"/>
              </w:rPr>
              <w:t>one week</w:t>
            </w:r>
            <w:r>
              <w:rPr>
                <w:color w:val="000000"/>
                <w:lang w:val="en-US"/>
              </w:rPr>
              <w:t xml:space="preserve"> </w:t>
            </w:r>
            <w:r>
              <w:rPr>
                <w:color w:val="000000"/>
              </w:rPr>
              <w:t xml:space="preserve">before the Deadline for Bid Submission. </w:t>
            </w:r>
          </w:p>
          <w:p>
            <w:pPr>
              <w:pStyle w:val="Normal"/>
              <w:widowControl w:val="false"/>
              <w:spacing w:before="0" w:after="0"/>
              <w:jc w:val="both"/>
              <w:rPr>
                <w:color w:val="000000"/>
                <w:highlight w:val="lightGray"/>
              </w:rPr>
            </w:pPr>
            <w:r>
              <w:rPr>
                <w:color w:val="000000"/>
                <w:highlight w:val="lightGray"/>
              </w:rPr>
            </w:r>
          </w:p>
          <w:p>
            <w:pPr>
              <w:pStyle w:val="Normal"/>
              <w:widowControl w:val="false"/>
              <w:spacing w:before="0" w:after="0"/>
              <w:jc w:val="both"/>
              <w:rPr>
                <w:i/>
                <w:i/>
                <w:color w:val="000000"/>
                <w:highlight w:val="lightGray"/>
              </w:rPr>
            </w:pPr>
            <w:r>
              <w:rPr>
                <w:color w:val="000000"/>
              </w:rPr>
              <w:t xml:space="preserve">Responses to requests for clarification shall be communicated to bidders by posting responses on UNOPS’ website at </w:t>
            </w:r>
            <w:hyperlink r:id="rId12">
              <w:r>
                <w:rPr>
                  <w:rStyle w:val="InternetLink"/>
                </w:rPr>
                <w:t>https://esourcing.unops.org/</w:t>
              </w:r>
            </w:hyperlink>
            <w:r>
              <w:rPr>
                <w:color w:val="000000"/>
              </w:rPr>
              <w:t xml:space="preserve"> under ITB Case No. </w:t>
            </w:r>
            <w:r>
              <w:rPr>
                <w:b w:val="false"/>
                <w:bCs w:val="false"/>
                <w:color w:val="000000"/>
              </w:rPr>
              <w:t>ITB/2020/</w:t>
            </w:r>
            <w:r>
              <w:rPr>
                <w:b w:val="false"/>
                <w:bCs w:val="false"/>
                <w:color w:val="000000"/>
                <w:lang w:val="en-US"/>
              </w:rPr>
              <w:t>16308</w:t>
            </w:r>
            <w:r>
              <w:rPr>
                <w:color w:val="000000"/>
              </w:rPr>
              <w:t>.</w:t>
            </w:r>
            <w:r>
              <w:rPr>
                <w:b/>
                <w:color w:val="000000"/>
              </w:rPr>
              <w:t xml:space="preserve">  </w:t>
            </w:r>
          </w:p>
          <w:p>
            <w:pPr>
              <w:pStyle w:val="Normal"/>
              <w:widowControl w:val="false"/>
              <w:spacing w:before="0" w:after="0"/>
              <w:jc w:val="both"/>
              <w:rPr>
                <w:color w:val="000000"/>
              </w:rPr>
            </w:pPr>
            <w:r>
              <w:rPr>
                <w:i/>
                <w:color w:val="000000"/>
                <w:highlight w:val="lightGray"/>
              </w:rPr>
              <w:t xml:space="preserve"> </w:t>
            </w:r>
            <w:r>
              <w:rPr>
                <w:color w:val="000000"/>
                <w:highlight w:val="lightGray"/>
              </w:rPr>
              <w:t xml:space="preserve"> </w:t>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Clarification Meetings</w:t>
            </w:r>
          </w:p>
          <w:p>
            <w:pPr>
              <w:pStyle w:val="Normal"/>
              <w:widowControl w:val="false"/>
              <w:spacing w:before="0" w:after="0"/>
              <w:rPr>
                <w:color w:val="000000"/>
              </w:rPr>
            </w:pPr>
            <w:r>
              <w:rPr>
                <w:color w:val="000000"/>
              </w:rPr>
              <w:t>(Article 9)</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Normal"/>
              <w:widowControl w:val="false"/>
              <w:spacing w:before="0" w:after="0"/>
              <w:jc w:val="both"/>
              <w:rPr>
                <w:color w:val="000000"/>
              </w:rPr>
            </w:pPr>
            <w:r>
              <w:rPr>
                <w:color w:val="000000"/>
              </w:rPr>
              <w:t>A clarification meeting shall be held as follows:</w:t>
            </w:r>
          </w:p>
          <w:p>
            <w:pPr>
              <w:pStyle w:val="Normal"/>
              <w:widowControl w:val="false"/>
              <w:spacing w:before="0" w:after="0"/>
              <w:jc w:val="both"/>
              <w:rPr>
                <w:color w:val="000000"/>
              </w:rPr>
            </w:pPr>
            <w:r>
              <w:rPr>
                <w:color w:val="000000"/>
              </w:rPr>
              <w:t xml:space="preserve">Date: </w:t>
            </w:r>
            <w:r>
              <w:rPr/>
              <w:t>15 October 2020</w:t>
            </w:r>
          </w:p>
          <w:p>
            <w:pPr>
              <w:pStyle w:val="Normal"/>
              <w:widowControl w:val="false"/>
              <w:spacing w:before="0" w:after="0"/>
              <w:jc w:val="both"/>
              <w:rPr>
                <w:color w:val="000000"/>
              </w:rPr>
            </w:pPr>
            <w:r>
              <w:rPr>
                <w:color w:val="000000"/>
              </w:rPr>
              <w:t xml:space="preserve">Time: 14:00 Kyiv time </w:t>
            </w:r>
          </w:p>
          <w:p>
            <w:pPr>
              <w:pStyle w:val="Normal"/>
              <w:widowControl w:val="false"/>
              <w:spacing w:before="0" w:after="0"/>
              <w:jc w:val="both"/>
              <w:rPr>
                <w:color w:val="000000"/>
              </w:rPr>
            </w:pPr>
            <w:r>
              <w:rPr>
                <w:color w:val="000000"/>
              </w:rPr>
              <w:t>Location: Google Hangouts Meeting</w:t>
            </w:r>
          </w:p>
          <w:p>
            <w:pPr>
              <w:pStyle w:val="Normal"/>
              <w:widowControl w:val="false"/>
              <w:spacing w:before="0" w:after="0"/>
              <w:jc w:val="both"/>
              <w:rPr>
                <w:color w:val="000000"/>
              </w:rPr>
            </w:pPr>
            <w:r>
              <w:rPr>
                <w:color w:val="000000"/>
                <w:lang w:val="en-US"/>
              </w:rPr>
              <w:t xml:space="preserve">The clarification meeting is not mandatory. </w:t>
            </w:r>
          </w:p>
          <w:p>
            <w:pPr>
              <w:pStyle w:val="Normal"/>
              <w:widowControl w:val="false"/>
              <w:spacing w:before="0" w:after="0"/>
              <w:jc w:val="both"/>
              <w:rPr>
                <w:color w:val="000000"/>
              </w:rPr>
            </w:pPr>
            <w:r>
              <w:rPr>
                <w:color w:val="000000"/>
              </w:rPr>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Site Inspection</w:t>
            </w:r>
          </w:p>
          <w:p>
            <w:pPr>
              <w:pStyle w:val="Normal"/>
              <w:widowControl w:val="false"/>
              <w:spacing w:before="0" w:after="0"/>
              <w:rPr>
                <w:color w:val="000000"/>
              </w:rPr>
            </w:pPr>
            <w:r>
              <w:rPr>
                <w:color w:val="000000"/>
              </w:rPr>
              <w:t>(Article 10)</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Normal"/>
              <w:widowControl w:val="false"/>
              <w:spacing w:before="0" w:after="0"/>
              <w:rPr>
                <w:rFonts w:ascii="Arial" w:hAnsi="Arial" w:eastAsia="Arial" w:cs="Arial"/>
                <w:smallCaps/>
                <w:color w:val="000000"/>
                <w:sz w:val="22"/>
                <w:szCs w:val="22"/>
              </w:rPr>
            </w:pPr>
            <w:r>
              <w:rPr/>
              <w:t>NA</w:t>
            </w:r>
          </w:p>
          <w:p>
            <w:pPr>
              <w:pStyle w:val="Normal"/>
              <w:widowControl w:val="false"/>
              <w:spacing w:before="0" w:after="0"/>
              <w:jc w:val="both"/>
              <w:rPr>
                <w:color w:val="000000"/>
              </w:rPr>
            </w:pPr>
            <w:r>
              <w:rPr>
                <w:color w:val="000000"/>
              </w:rPr>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Bid validity period</w:t>
            </w:r>
          </w:p>
          <w:p>
            <w:pPr>
              <w:pStyle w:val="Normal"/>
              <w:widowControl w:val="false"/>
              <w:spacing w:before="0" w:after="0"/>
              <w:rPr>
                <w:color w:val="000000"/>
              </w:rPr>
            </w:pPr>
            <w:r>
              <w:rPr>
                <w:color w:val="000000"/>
              </w:rPr>
              <w:t>(Article 13)</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before="0" w:after="0"/>
              <w:ind w:left="0" w:right="0" w:hanging="0"/>
              <w:jc w:val="both"/>
              <w:rPr>
                <w:color w:val="000000"/>
              </w:rPr>
            </w:pPr>
            <w:r>
              <w:rPr>
                <w:color w:val="000000"/>
              </w:rPr>
            </w:r>
          </w:p>
          <w:p>
            <w:pPr>
              <w:pStyle w:val="Normal"/>
              <w:widowControl w:val="false"/>
              <w:bidi w:val="0"/>
              <w:spacing w:before="0" w:after="0"/>
              <w:ind w:left="0" w:right="0" w:hanging="0"/>
              <w:jc w:val="both"/>
              <w:rPr>
                <w:color w:val="000000"/>
              </w:rPr>
            </w:pPr>
            <w:r>
              <w:rPr>
                <w:color w:val="000000"/>
              </w:rPr>
              <w:t xml:space="preserve">Bids shall remain valid for acceptance by UNOPS for </w:t>
            </w:r>
            <w:r>
              <w:rPr>
                <w:b/>
                <w:color w:val="000000"/>
              </w:rPr>
              <w:t xml:space="preserve">90 Days </w:t>
            </w:r>
            <w:r>
              <w:rPr>
                <w:color w:val="000000"/>
              </w:rPr>
              <w:t>from the Deadline for Bid Submission.</w:t>
            </w:r>
          </w:p>
          <w:p>
            <w:pPr>
              <w:pStyle w:val="Normal"/>
              <w:widowControl w:val="false"/>
              <w:spacing w:before="0" w:after="0"/>
              <w:ind w:hanging="720"/>
              <w:jc w:val="both"/>
              <w:rPr>
                <w:b/>
                <w:b/>
                <w:i/>
                <w:i/>
                <w:color w:val="000000"/>
                <w:highlight w:val="lightGray"/>
              </w:rPr>
            </w:pPr>
            <w:r>
              <w:rPr>
                <w:b/>
                <w:i/>
                <w:color w:val="000000"/>
                <w:highlight w:val="lightGray"/>
              </w:rPr>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widowControl w:val="false"/>
              <w:spacing w:before="0" w:after="0"/>
              <w:rPr>
                <w:rFonts w:ascii="Arial" w:hAnsi="Arial" w:eastAsia="Arial" w:cs="Arial"/>
                <w:smallCaps/>
                <w:color w:val="000000"/>
                <w:sz w:val="22"/>
                <w:szCs w:val="22"/>
              </w:rPr>
            </w:pPr>
            <w:r>
              <w:rPr/>
              <w:t>Bid Currenc(ies)</w:t>
            </w:r>
          </w:p>
          <w:p>
            <w:pPr>
              <w:pStyle w:val="Normal"/>
              <w:widowControl w:val="false"/>
              <w:spacing w:before="0" w:after="0"/>
              <w:rPr>
                <w:color w:val="000000"/>
              </w:rPr>
            </w:pPr>
            <w:r>
              <w:rPr>
                <w:color w:val="000000"/>
              </w:rPr>
              <w:t>(Article 16)</w:t>
            </w:r>
          </w:p>
          <w:p>
            <w:pPr>
              <w:pStyle w:val="Normal"/>
              <w:widowControl w:val="false"/>
              <w:spacing w:before="0" w:after="0"/>
              <w:ind w:firstLine="720"/>
              <w:rPr>
                <w:color w:val="000000"/>
              </w:rPr>
            </w:pPr>
            <w:r>
              <w:rPr>
                <w:color w:val="000000"/>
              </w:rPr>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ind w:hanging="720"/>
              <w:jc w:val="both"/>
              <w:rPr>
                <w:color w:val="000000"/>
              </w:rPr>
            </w:pPr>
            <w:r>
              <w:rPr>
                <w:color w:val="000000"/>
              </w:rPr>
            </w:r>
          </w:p>
          <w:p>
            <w:pPr>
              <w:pStyle w:val="Normal"/>
              <w:widowControl w:val="false"/>
              <w:bidi w:val="0"/>
              <w:spacing w:before="0" w:after="0"/>
              <w:ind w:left="0" w:right="0" w:hanging="0"/>
              <w:jc w:val="both"/>
              <w:rPr>
                <w:color w:val="000000"/>
              </w:rPr>
            </w:pPr>
            <w:r>
              <w:rPr>
                <w:color w:val="000000"/>
              </w:rPr>
              <w:t>Prices shall be quoted in USD.</w:t>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bookmarkStart w:id="3" w:name="tyjcwt"/>
            <w:bookmarkStart w:id="4" w:name="3znysh7"/>
            <w:bookmarkStart w:id="5" w:name="2et92p0"/>
            <w:bookmarkStart w:id="6" w:name="1fob9te"/>
            <w:bookmarkStart w:id="7" w:name="3dy6vkm"/>
            <w:bookmarkStart w:id="8" w:name="tyjcwt"/>
            <w:bookmarkStart w:id="9" w:name="3znysh7"/>
            <w:bookmarkStart w:id="10" w:name="2et92p0"/>
            <w:bookmarkStart w:id="11" w:name="1fob9te"/>
            <w:bookmarkStart w:id="12" w:name="3dy6vkm"/>
            <w:bookmarkEnd w:id="8"/>
            <w:bookmarkEnd w:id="9"/>
            <w:bookmarkEnd w:id="10"/>
            <w:bookmarkEnd w:id="11"/>
            <w:bookmarkEnd w:id="12"/>
          </w:p>
          <w:p>
            <w:pPr>
              <w:pStyle w:val="Normal"/>
              <w:widowControl w:val="false"/>
              <w:spacing w:before="0" w:after="0"/>
              <w:rPr>
                <w:color w:val="000000"/>
              </w:rPr>
            </w:pPr>
            <w:r>
              <w:rPr>
                <w:color w:val="000000"/>
              </w:rPr>
              <w:t>Duties and Taxes (Article 17)</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Normal"/>
              <w:widowControl w:val="false"/>
              <w:spacing w:before="0" w:after="0"/>
              <w:jc w:val="both"/>
              <w:rPr>
                <w:b/>
                <w:b/>
                <w:i/>
                <w:i/>
                <w:color w:val="000000"/>
              </w:rPr>
            </w:pPr>
            <w:r>
              <w:rPr>
                <w:color w:val="000000"/>
              </w:rPr>
              <w:t xml:space="preserve">All bids shall be submitted net of any direct taxes </w:t>
            </w:r>
          </w:p>
          <w:p>
            <w:pPr>
              <w:pStyle w:val="Normal"/>
              <w:widowControl w:val="false"/>
              <w:spacing w:before="0" w:after="0"/>
              <w:jc w:val="both"/>
              <w:rPr>
                <w:b/>
                <w:b/>
                <w:i/>
                <w:i/>
                <w:color w:val="000000"/>
                <w:highlight w:val="lightGray"/>
              </w:rPr>
            </w:pPr>
            <w:r>
              <w:rPr>
                <w:b/>
                <w:i/>
                <w:color w:val="000000"/>
                <w:highlight w:val="lightGray"/>
              </w:rPr>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Language of bids</w:t>
            </w:r>
          </w:p>
          <w:p>
            <w:pPr>
              <w:pStyle w:val="Normal"/>
              <w:widowControl w:val="false"/>
              <w:spacing w:before="0" w:after="0"/>
              <w:rPr>
                <w:color w:val="000000"/>
              </w:rPr>
            </w:pPr>
            <w:r>
              <w:rPr>
                <w:color w:val="000000"/>
              </w:rPr>
              <w:t>(Article 19)</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Normal"/>
              <w:widowControl w:val="false"/>
              <w:spacing w:before="0" w:after="0"/>
              <w:jc w:val="both"/>
              <w:rPr>
                <w:color w:val="000000"/>
              </w:rPr>
            </w:pPr>
            <w:r>
              <w:rPr>
                <w:color w:val="000000"/>
              </w:rPr>
              <w:t>All bids, information, documents and correspondence exchanged between UNOPS and the bidders in relation to this bid process shall be in English.</w:t>
            </w:r>
          </w:p>
          <w:p>
            <w:pPr>
              <w:pStyle w:val="Normal"/>
              <w:widowControl w:val="false"/>
              <w:spacing w:before="0" w:after="0"/>
              <w:jc w:val="both"/>
              <w:rPr>
                <w:b/>
                <w:b/>
                <w:i/>
                <w:i/>
                <w:color w:val="000000"/>
                <w:highlight w:val="lightGray"/>
              </w:rPr>
            </w:pPr>
            <w:r>
              <w:rPr>
                <w:b/>
                <w:i/>
                <w:color w:val="000000"/>
                <w:highlight w:val="lightGray"/>
              </w:rPr>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Deadline for Bid Submission</w:t>
            </w:r>
          </w:p>
          <w:p>
            <w:pPr>
              <w:pStyle w:val="Normal"/>
              <w:widowControl w:val="false"/>
              <w:spacing w:before="0" w:after="0"/>
              <w:rPr>
                <w:color w:val="000000"/>
              </w:rPr>
            </w:pPr>
            <w:r>
              <w:rPr>
                <w:color w:val="000000"/>
              </w:rPr>
              <w:t>(Article 20)</w:t>
            </w:r>
          </w:p>
          <w:p>
            <w:pPr>
              <w:pStyle w:val="Normal"/>
              <w:widowControl w:val="false"/>
              <w:spacing w:before="0" w:after="0"/>
              <w:rPr>
                <w:color w:val="000000"/>
              </w:rPr>
            </w:pPr>
            <w:r>
              <w:rPr>
                <w:color w:val="000000"/>
              </w:rPr>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 xml:space="preserve">All bids must be submitted by 12:00 pm (noon), Kyiv, Ukraine time, on </w:t>
            </w:r>
            <w:r>
              <w:rPr>
                <w:color w:val="000000"/>
                <w:lang w:val="en-US"/>
              </w:rPr>
              <w:t>28</w:t>
            </w:r>
            <w:r>
              <w:rPr>
                <w:color w:val="000000"/>
              </w:rPr>
              <w:t xml:space="preserve"> </w:t>
            </w:r>
            <w:r>
              <w:rPr>
                <w:color w:val="000000"/>
                <w:lang w:val="en-US"/>
              </w:rPr>
              <w:t>October</w:t>
            </w:r>
            <w:r>
              <w:rPr>
                <w:color w:val="000000"/>
              </w:rPr>
              <w:t xml:space="preserve"> 2020.</w:t>
            </w:r>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 xml:space="preserve">Bid Submission </w:t>
            </w:r>
          </w:p>
          <w:p>
            <w:pPr>
              <w:pStyle w:val="Normal"/>
              <w:widowControl w:val="false"/>
              <w:spacing w:before="0" w:after="0"/>
              <w:rPr>
                <w:color w:val="000000"/>
              </w:rPr>
            </w:pPr>
            <w:r>
              <w:rPr>
                <w:color w:val="000000"/>
              </w:rPr>
              <w:t>(Article 21)</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ascii="Arial" w:hAnsi="Arial" w:eastAsia="Arial" w:cs="Arial"/>
                <w:smallCaps/>
                <w:color w:val="000000"/>
                <w:sz w:val="22"/>
                <w:szCs w:val="22"/>
              </w:rPr>
            </w:pPr>
            <w:hyperlink r:id="rId13">
              <w:r>
                <w:rPr>
                  <w:rStyle w:val="InternetLink"/>
                </w:rPr>
                <w:t>https://esourcing.unops.org/</w:t>
              </w:r>
            </w:hyperlink>
          </w:p>
        </w:tc>
      </w:tr>
      <w:tr>
        <w:trPr/>
        <w:tc>
          <w:tcPr>
            <w:tcW w:w="20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widowControl w:val="false"/>
              <w:spacing w:before="0" w:after="0"/>
              <w:rPr>
                <w:rFonts w:ascii="Arial" w:hAnsi="Arial" w:eastAsia="Arial" w:cs="Arial"/>
                <w:smallCaps/>
                <w:color w:val="000000"/>
                <w:sz w:val="22"/>
                <w:szCs w:val="22"/>
              </w:rPr>
            </w:pPr>
            <w:r>
              <w:rPr/>
              <w:t>Opening of Bids</w:t>
            </w:r>
          </w:p>
          <w:p>
            <w:pPr>
              <w:pStyle w:val="Normal"/>
              <w:widowControl w:val="false"/>
              <w:spacing w:before="0" w:after="0"/>
              <w:rPr>
                <w:color w:val="000000"/>
              </w:rPr>
            </w:pPr>
            <w:r>
              <w:rPr>
                <w:color w:val="000000"/>
              </w:rPr>
              <w:t>(Article 22)</w:t>
            </w:r>
          </w:p>
        </w:tc>
        <w:tc>
          <w:tcPr>
            <w:tcW w:w="731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t xml:space="preserve">Bids will be opened at </w:t>
            </w:r>
            <w:r>
              <w:rPr>
                <w:color w:val="000000"/>
              </w:rPr>
              <w:t xml:space="preserve">12:00 pm (noon), Kyiv, Ukraine time, on </w:t>
            </w:r>
            <w:r>
              <w:rPr>
                <w:color w:val="000000"/>
                <w:lang w:val="en-US"/>
              </w:rPr>
              <w:t>28</w:t>
            </w:r>
            <w:r>
              <w:rPr>
                <w:color w:val="000000"/>
              </w:rPr>
              <w:t xml:space="preserve"> </w:t>
            </w:r>
            <w:r>
              <w:rPr>
                <w:color w:val="000000"/>
                <w:lang w:val="en-US"/>
              </w:rPr>
              <w:t>October</w:t>
            </w:r>
            <w:r>
              <w:rPr>
                <w:color w:val="000000"/>
              </w:rPr>
              <w:t xml:space="preserve"> 2020.</w:t>
            </w:r>
          </w:p>
          <w:p>
            <w:pPr>
              <w:pStyle w:val="Normal"/>
              <w:widowControl w:val="false"/>
              <w:spacing w:before="0" w:after="0"/>
              <w:rPr>
                <w:rFonts w:ascii="Arial" w:hAnsi="Arial" w:eastAsia="Arial" w:cs="Arial"/>
                <w:smallCaps/>
                <w:color w:val="000000"/>
                <w:sz w:val="22"/>
                <w:szCs w:val="22"/>
              </w:rPr>
            </w:pPr>
            <w:r>
              <w:rPr>
                <w:rFonts w:eastAsia="Arial" w:cs="Arial"/>
                <w:smallCaps/>
                <w:color w:val="000000"/>
                <w:sz w:val="22"/>
                <w:szCs w:val="22"/>
              </w:rPr>
            </w:r>
          </w:p>
        </w:tc>
      </w:tr>
    </w:tbl>
    <w:p>
      <w:pPr>
        <w:sectPr>
          <w:headerReference w:type="default" r:id="rId14"/>
          <w:footerReference w:type="default" r:id="rId15"/>
          <w:type w:val="nextPage"/>
          <w:pgSz w:w="11906" w:h="16838"/>
          <w:pgMar w:left="1440" w:right="1440" w:header="432" w:top="1440" w:footer="389" w:bottom="1440" w:gutter="0"/>
          <w:pgNumType w:fmt="decimal"/>
          <w:formProt w:val="false"/>
          <w:textDirection w:val="lrTb"/>
          <w:docGrid w:type="default" w:linePitch="100" w:charSpace="4096"/>
        </w:sectPr>
      </w:pPr>
    </w:p>
    <w:p>
      <w:pPr>
        <w:pStyle w:val="Heading3"/>
        <w:spacing w:before="0" w:after="0"/>
        <w:jc w:val="center"/>
        <w:rPr>
          <w:rFonts w:ascii="Arial" w:hAnsi="Arial" w:eastAsia="Arial" w:cs="Arial"/>
          <w:smallCaps/>
          <w:color w:val="000000"/>
          <w:sz w:val="22"/>
          <w:szCs w:val="22"/>
        </w:rPr>
      </w:pPr>
      <w:r>
        <w:rPr>
          <w:rFonts w:eastAsia="Arial" w:cs="Arial" w:ascii="Arial" w:hAnsi="Arial"/>
          <w:smallCaps/>
          <w:color w:val="000000"/>
          <w:sz w:val="22"/>
          <w:szCs w:val="22"/>
        </w:rPr>
        <w:t>SECTION II</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spacing w:before="0" w:after="0"/>
        <w:jc w:val="center"/>
        <w:rPr>
          <w:rFonts w:ascii="Arial" w:hAnsi="Arial" w:eastAsia="Arial" w:cs="Arial"/>
          <w:smallCaps/>
          <w:color w:val="000000"/>
          <w:sz w:val="22"/>
          <w:szCs w:val="22"/>
        </w:rPr>
      </w:pPr>
      <w:r>
        <w:rPr>
          <w:rFonts w:eastAsia="Arial" w:cs="Arial" w:ascii="Arial" w:hAnsi="Arial"/>
          <w:smallCaps/>
          <w:color w:val="000000"/>
          <w:sz w:val="22"/>
          <w:szCs w:val="22"/>
        </w:rPr>
        <w:t>INSTRUCTIONS TO BIDDERS</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INFORMATION FOR BIDDERS</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rFonts w:ascii="Arial" w:hAnsi="Arial" w:eastAsia="Arial" w:cs="Arial"/>
          <w:smallCaps/>
          <w:color w:val="000000"/>
          <w:sz w:val="22"/>
          <w:szCs w:val="22"/>
        </w:rPr>
      </w:pPr>
      <w:r>
        <w:rPr/>
        <w:t>Bidders are invited to submit a bid for the works described in the Bid Particulars in Section I, and further described in the Contract in Section V, in accordance with this ITB.</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rFonts w:ascii="Arial" w:hAnsi="Arial" w:eastAsia="Arial" w:cs="Arial"/>
          <w:smallCaps/>
          <w:color w:val="000000"/>
          <w:sz w:val="22"/>
          <w:szCs w:val="22"/>
        </w:rPr>
      </w:pPr>
      <w:r>
        <w:rPr/>
        <w:t>All correspondence, notification and bids in relation to this ITB shall be sent to the contact person and address set out in the Bid Particulars in Section I.  Please note that the address for Bid Submission may be different.</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INTERPRETATION OF THE ITB</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rFonts w:ascii="Arial" w:hAnsi="Arial" w:eastAsia="Arial" w:cs="Arial"/>
          <w:smallCaps/>
          <w:color w:val="000000"/>
          <w:sz w:val="22"/>
          <w:szCs w:val="22"/>
        </w:rPr>
      </w:pPr>
      <w:r>
        <w:rPr/>
        <w:t>This ITB is an invitation to treat and shall not be construed as an offer capable of being accepted or as creating any contractual, other legal or restitutionary rights.</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rFonts w:ascii="Arial" w:hAnsi="Arial" w:eastAsia="Arial" w:cs="Arial"/>
          <w:smallCaps/>
          <w:color w:val="000000"/>
          <w:sz w:val="22"/>
          <w:szCs w:val="22"/>
        </w:rPr>
      </w:pPr>
      <w:r>
        <w:rPr/>
        <w:t>No binding contract, including a process contract or other understanding or arrangement, will exist between the bidder and UNOPS and nothing in or in connection with this ITB shall give rise to any liability on the part of UNOPS unless and until the Contract is signed by UNOPS and the successful bidder.</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AMENDMENTS TO THE ITB</w:t>
      </w:r>
    </w:p>
    <w:p>
      <w:pPr>
        <w:pStyle w:val="Normal"/>
        <w:spacing w:before="0" w:after="0"/>
        <w:jc w:val="both"/>
        <w:rPr>
          <w:color w:val="000000"/>
        </w:rPr>
      </w:pPr>
      <w:r>
        <w:rPr>
          <w:color w:val="000000"/>
        </w:rPr>
      </w:r>
      <w:bookmarkStart w:id="13" w:name="_1t3h5sf"/>
      <w:bookmarkStart w:id="14" w:name="_1t3h5sf"/>
      <w:bookmarkEnd w:id="14"/>
    </w:p>
    <w:p>
      <w:pPr>
        <w:pStyle w:val="Normal"/>
        <w:spacing w:before="0" w:after="0"/>
        <w:jc w:val="both"/>
        <w:rPr>
          <w:color w:val="000000"/>
        </w:rPr>
      </w:pPr>
      <w:r>
        <w:rPr>
          <w:color w:val="000000"/>
        </w:rPr>
        <w:t xml:space="preserve">Prior to the Deadline for Bid Submission, UNOPS may at its discretion modify the bidding documents by way of a written addendum.  All written addenda to the bidding documents shall form part of the ITB. </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In the event UNOPS modifies the ITB, UNOPS will notify in writing all bidders that have received the ITB from UNOPS of such modification. </w:t>
      </w:r>
    </w:p>
    <w:p>
      <w:pPr>
        <w:pStyle w:val="Normal"/>
        <w:spacing w:before="0" w:after="0"/>
        <w:jc w:val="both"/>
        <w:rPr>
          <w:color w:val="000000"/>
        </w:rPr>
      </w:pPr>
      <w:r>
        <w:rPr>
          <w:color w:val="000000"/>
        </w:rPr>
      </w:r>
    </w:p>
    <w:p>
      <w:pPr>
        <w:pStyle w:val="Normal"/>
        <w:spacing w:before="0" w:after="0"/>
        <w:jc w:val="both"/>
        <w:rPr>
          <w:color w:val="000000"/>
        </w:rPr>
      </w:pPr>
      <w:r>
        <w:rPr>
          <w:color w:val="000000"/>
        </w:rPr>
        <w:t>In order to give the bidders reasonable time to take such modification into account, UNOPS may extend the Deadline for Bid Submission as may be appropriate under the circumstances.</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15" w:name="_4d34og8"/>
      <w:bookmarkEnd w:id="15"/>
      <w:r>
        <w:rPr>
          <w:rFonts w:eastAsia="Arial" w:cs="Arial" w:ascii="Arial" w:hAnsi="Arial"/>
          <w:smallCaps/>
          <w:color w:val="000000"/>
          <w:sz w:val="22"/>
          <w:szCs w:val="22"/>
        </w:rPr>
        <w:t>BIDDER ELIGIBILITY</w:t>
      </w:r>
    </w:p>
    <w:p>
      <w:pPr>
        <w:pStyle w:val="Heading3"/>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A bidder may be a private, public or government-owned legal entity or any association, including a joint venture or consortium with legal capacity to enter into a binding contract with UNOPS. </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i/>
          <w:i/>
          <w:color w:val="000000"/>
        </w:rPr>
      </w:pPr>
      <w:r>
        <w:rPr>
          <w:color w:val="000000"/>
        </w:rPr>
        <w:t>A bidder, and all parties constituting the bidder, may have the nationality of any country with the exception of the nationalities, if any, listed in the Bid Particulars in Section I</w:t>
      </w:r>
      <w:r>
        <w:rPr>
          <w:i/>
          <w:color w:val="000000"/>
        </w:rPr>
        <w:t>.</w:t>
      </w:r>
    </w:p>
    <w:p>
      <w:pPr>
        <w:pStyle w:val="Normal"/>
        <w:spacing w:before="0" w:after="0"/>
        <w:jc w:val="both"/>
        <w:rPr>
          <w:color w:val="000000"/>
        </w:rPr>
      </w:pPr>
      <w:r>
        <w:rPr>
          <w:color w:val="000000"/>
        </w:rPr>
      </w:r>
    </w:p>
    <w:p>
      <w:pPr>
        <w:pStyle w:val="Normal"/>
        <w:spacing w:before="0" w:after="0"/>
        <w:jc w:val="both"/>
        <w:rPr>
          <w:color w:val="000000"/>
        </w:rPr>
      </w:pPr>
      <w:r>
        <w:rPr>
          <w:color w:val="000000"/>
        </w:rPr>
        <w:t>A bidder shall not be eligible to submit a bid if and when at the time of bid submission, the bidder:</w:t>
      </w:r>
    </w:p>
    <w:p>
      <w:pPr>
        <w:pStyle w:val="Normal"/>
        <w:spacing w:before="0" w:after="0"/>
        <w:jc w:val="both"/>
        <w:rPr>
          <w:color w:val="000000"/>
        </w:rPr>
      </w:pPr>
      <w:r>
        <w:rPr>
          <w:color w:val="000000"/>
        </w:rPr>
      </w:r>
    </w:p>
    <w:p>
      <w:pPr>
        <w:pStyle w:val="Normal"/>
        <w:numPr>
          <w:ilvl w:val="0"/>
          <w:numId w:val="4"/>
        </w:numPr>
        <w:spacing w:before="0" w:after="0"/>
        <w:ind w:left="1440" w:hanging="720"/>
        <w:jc w:val="both"/>
        <w:rPr>
          <w:color w:val="000000"/>
        </w:rPr>
      </w:pPr>
      <w:r>
        <w:rPr>
          <w:color w:val="000000"/>
        </w:rPr>
        <w:t xml:space="preserve">has been suspended or declared ineligible by UNOPS or any other entity of the United Nations system, including the World Bank; </w:t>
      </w:r>
    </w:p>
    <w:p>
      <w:pPr>
        <w:pStyle w:val="Normal"/>
        <w:spacing w:before="0" w:after="0"/>
        <w:ind w:left="1440" w:hanging="720"/>
        <w:jc w:val="both"/>
        <w:rPr>
          <w:color w:val="000000"/>
        </w:rPr>
      </w:pPr>
      <w:r>
        <w:rPr>
          <w:color w:val="000000"/>
        </w:rPr>
      </w:r>
      <w:bookmarkStart w:id="16" w:name="_2s8eyo1"/>
      <w:bookmarkStart w:id="17" w:name="_2s8eyo1"/>
      <w:bookmarkEnd w:id="17"/>
    </w:p>
    <w:p>
      <w:pPr>
        <w:pStyle w:val="Normal"/>
        <w:numPr>
          <w:ilvl w:val="0"/>
          <w:numId w:val="4"/>
        </w:numPr>
        <w:spacing w:before="0" w:after="0"/>
        <w:ind w:left="1440" w:hanging="720"/>
        <w:jc w:val="both"/>
        <w:rPr>
          <w:color w:val="000000"/>
        </w:rPr>
      </w:pPr>
      <w:r>
        <w:rPr>
          <w:color w:val="000000"/>
        </w:rPr>
        <w:t>is on the UN 1267 terrorist list issued by the Security Council resolution 1267 which establishes a sanctions regime to cover individuals and entities associated with Al-Qaida and/or the Taliban; or</w:t>
      </w:r>
    </w:p>
    <w:p>
      <w:pPr>
        <w:pStyle w:val="Normal"/>
        <w:spacing w:before="100" w:after="0"/>
        <w:rPr>
          <w:color w:val="000000"/>
        </w:rPr>
      </w:pPr>
      <w:r>
        <w:rPr>
          <w:color w:val="000000"/>
        </w:rPr>
      </w:r>
    </w:p>
    <w:p>
      <w:pPr>
        <w:pStyle w:val="Normal"/>
        <w:numPr>
          <w:ilvl w:val="0"/>
          <w:numId w:val="4"/>
        </w:numPr>
        <w:spacing w:before="0" w:after="0"/>
        <w:ind w:left="1440" w:hanging="720"/>
        <w:jc w:val="both"/>
        <w:rPr>
          <w:color w:val="000000"/>
        </w:rPr>
      </w:pPr>
      <w:r>
        <w:rPr>
          <w:color w:val="000000"/>
        </w:rPr>
        <w:t>has not attended a mandatory site inspection or mandatory clarification meeting, if applicable, in accordance with Articles 9 and 10.</w:t>
      </w:r>
    </w:p>
    <w:p>
      <w:pPr>
        <w:pStyle w:val="Normal"/>
        <w:spacing w:before="100" w:after="0"/>
        <w:rPr>
          <w:color w:val="000000"/>
        </w:rPr>
      </w:pPr>
      <w:r>
        <w:rPr>
          <w:color w:val="000000"/>
        </w:rPr>
      </w:r>
    </w:p>
    <w:p>
      <w:pPr>
        <w:pStyle w:val="Normal"/>
        <w:numPr>
          <w:ilvl w:val="0"/>
          <w:numId w:val="4"/>
        </w:numPr>
        <w:spacing w:before="0" w:after="0"/>
        <w:ind w:left="1440" w:hanging="720"/>
        <w:jc w:val="both"/>
        <w:rPr>
          <w:color w:val="000000"/>
        </w:rPr>
      </w:pPr>
      <w:r>
        <w:rPr>
          <w:color w:val="000000"/>
        </w:rPr>
        <w:t xml:space="preserve">does not comply with any additional requirements as may be set out in the Bill of Particulars. </w:t>
      </w:r>
    </w:p>
    <w:p>
      <w:pPr>
        <w:pStyle w:val="Normal"/>
        <w:spacing w:before="0" w:after="0"/>
        <w:ind w:left="1440" w:hanging="720"/>
        <w:jc w:val="both"/>
        <w:rPr>
          <w:color w:val="000000"/>
        </w:rPr>
      </w:pPr>
      <w:r>
        <w:rPr>
          <w:color w:val="000000"/>
        </w:rPr>
      </w:r>
    </w:p>
    <w:p>
      <w:pPr>
        <w:pStyle w:val="Normal"/>
        <w:spacing w:before="0" w:after="0"/>
        <w:jc w:val="both"/>
        <w:rPr>
          <w:color w:val="000000"/>
        </w:rPr>
      </w:pPr>
      <w:r>
        <w:rPr>
          <w:color w:val="000000"/>
        </w:rPr>
        <w:t xml:space="preserve">If a bidder does not have all the expertise required for the provision of the works to be provided under the Contract, such bidder may submit a bid in association with other entities, particularly with an entity in the country where the works are to be provided.  An entity may not submit more than one bid in response to this ITB, whether alone or in association with other entities. </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In the case of a joint venture, consortium or association: </w:t>
      </w:r>
    </w:p>
    <w:p>
      <w:pPr>
        <w:pStyle w:val="Normal"/>
        <w:spacing w:before="0" w:after="0"/>
        <w:jc w:val="both"/>
        <w:rPr>
          <w:color w:val="000000"/>
        </w:rPr>
      </w:pPr>
      <w:r>
        <w:rPr>
          <w:color w:val="000000"/>
        </w:rPr>
      </w:r>
    </w:p>
    <w:p>
      <w:pPr>
        <w:pStyle w:val="Normal"/>
        <w:numPr>
          <w:ilvl w:val="0"/>
          <w:numId w:val="10"/>
        </w:numPr>
        <w:spacing w:before="0" w:after="0"/>
        <w:ind w:left="1440" w:hanging="720"/>
        <w:jc w:val="both"/>
        <w:rPr>
          <w:color w:val="000000"/>
        </w:rPr>
      </w:pPr>
      <w:r>
        <w:rPr>
          <w:color w:val="000000"/>
        </w:rPr>
        <w:t xml:space="preserve">all parties of such joint venture, consortium or association shall be jointly and severally liable to UNOPS for any obligations arising from their bid and the Contract that may be awarded to them as a result of this ITB; </w:t>
      </w:r>
    </w:p>
    <w:p>
      <w:pPr>
        <w:pStyle w:val="Normal"/>
        <w:spacing w:before="0" w:after="0"/>
        <w:ind w:left="1440" w:hanging="720"/>
        <w:jc w:val="both"/>
        <w:rPr>
          <w:color w:val="000000"/>
        </w:rPr>
      </w:pPr>
      <w:r>
        <w:rPr>
          <w:color w:val="000000"/>
        </w:rPr>
      </w:r>
    </w:p>
    <w:p>
      <w:pPr>
        <w:pStyle w:val="Normal"/>
        <w:numPr>
          <w:ilvl w:val="0"/>
          <w:numId w:val="10"/>
        </w:numPr>
        <w:spacing w:before="0" w:after="240"/>
        <w:ind w:left="1440" w:hanging="720"/>
        <w:jc w:val="both"/>
        <w:rPr>
          <w:color w:val="000000"/>
        </w:rPr>
      </w:pPr>
      <w:r>
        <w:rPr>
          <w:color w:val="000000"/>
        </w:rPr>
        <w:t>the bid shall clearly identify the designated entity designated to act as the contact point to deal with UNOPS.  Such entity shall have the authority to make decisions binding upon the joint venture, association or consortium during the bidding process and, in the event that a contract is awarded, during the duration of the contract; and</w:t>
      </w:r>
    </w:p>
    <w:p>
      <w:pPr>
        <w:pStyle w:val="Normal"/>
        <w:numPr>
          <w:ilvl w:val="0"/>
          <w:numId w:val="10"/>
        </w:numPr>
        <w:spacing w:before="0" w:after="0"/>
        <w:ind w:left="1440" w:hanging="720"/>
        <w:jc w:val="both"/>
        <w:rPr>
          <w:color w:val="000000"/>
        </w:rPr>
      </w:pPr>
      <w:r>
        <w:rPr>
          <w:color w:val="000000"/>
        </w:rPr>
        <w:t>The composition or the constitution of the joint venture, consortium or association shall not be altered without the prior consent of UNOPS.</w:t>
      </w:r>
    </w:p>
    <w:p>
      <w:pPr>
        <w:pStyle w:val="Normal"/>
        <w:spacing w:before="0" w:after="0"/>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18" w:name="_17dp8vu"/>
      <w:bookmarkEnd w:id="18"/>
      <w:r>
        <w:rPr>
          <w:rFonts w:eastAsia="Arial" w:cs="Arial" w:ascii="Arial" w:hAnsi="Arial"/>
          <w:smallCaps/>
          <w:color w:val="000000"/>
          <w:sz w:val="22"/>
          <w:szCs w:val="22"/>
        </w:rPr>
        <w:t>ERRORS OR OMISSIONS</w:t>
      </w:r>
    </w:p>
    <w:p>
      <w:pPr>
        <w:pStyle w:val="Normal"/>
        <w:spacing w:before="0" w:after="0"/>
        <w:ind w:hanging="360"/>
        <w:jc w:val="both"/>
        <w:rPr>
          <w:color w:val="000000"/>
        </w:rPr>
      </w:pPr>
      <w:r>
        <w:rPr>
          <w:color w:val="000000"/>
        </w:rPr>
      </w:r>
    </w:p>
    <w:p>
      <w:pPr>
        <w:pStyle w:val="Normal"/>
        <w:spacing w:before="0" w:after="0"/>
        <w:jc w:val="both"/>
        <w:rPr>
          <w:color w:val="000000"/>
        </w:rPr>
      </w:pPr>
      <w:r>
        <w:rPr>
          <w:color w:val="000000"/>
        </w:rPr>
        <w:t>Bidders shall immediately notify UNOPS in writing of any ambiguities, errors, omissions, discrepancies, inconsistencies or other faults in any part of the ITB, with full details of those ambiguities, errors, omissions, discrepancies, inconsistencies or other faults.</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Bidders shall not benefit from such ambiguities, errors, omissions, discrepancies, inconsistencies or other faults. </w:t>
      </w:r>
    </w:p>
    <w:p>
      <w:pPr>
        <w:pStyle w:val="Normal"/>
        <w:spacing w:before="0" w:after="0"/>
        <w:ind w:hanging="360"/>
        <w:jc w:val="both"/>
        <w:rPr>
          <w:color w:val="000000"/>
        </w:rPr>
      </w:pPr>
      <w:r>
        <w:rPr>
          <w:color w:val="000000"/>
        </w:rPr>
      </w:r>
    </w:p>
    <w:p>
      <w:pPr>
        <w:pStyle w:val="Heading3"/>
        <w:numPr>
          <w:ilvl w:val="0"/>
          <w:numId w:val="8"/>
        </w:numPr>
        <w:pBdr>
          <w:bottom w:val="single" w:sz="6" w:space="1" w:color="000000"/>
        </w:pBdr>
        <w:spacing w:before="0" w:after="0"/>
        <w:ind w:left="720" w:hanging="720"/>
        <w:rPr>
          <w:rFonts w:ascii="Arial" w:hAnsi="Arial" w:eastAsia="Arial" w:cs="Arial"/>
          <w:smallCaps/>
          <w:color w:val="000000"/>
          <w:sz w:val="22"/>
          <w:szCs w:val="22"/>
        </w:rPr>
      </w:pPr>
      <w:r>
        <w:rPr>
          <w:rFonts w:eastAsia="Arial" w:cs="Arial" w:ascii="Arial" w:hAnsi="Arial"/>
          <w:smallCaps/>
          <w:color w:val="000000"/>
          <w:sz w:val="22"/>
          <w:szCs w:val="22"/>
        </w:rPr>
        <w:t>BIDDERS’ RESPONSIBILITY TO INFORM THEMSELVES &amp; ACKNOWLEDGEMENT</w:t>
      </w:r>
    </w:p>
    <w:p>
      <w:pPr>
        <w:pStyle w:val="Heading3"/>
        <w:keepNext w:val="false"/>
        <w:tabs>
          <w:tab w:val="left" w:pos="720" w:leader="none"/>
        </w:tabs>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tabs>
          <w:tab w:val="left" w:pos="720" w:leader="none"/>
        </w:tabs>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Bidders shall be responsible to inform themselves in preparing their bid.  In this regard, bidders shall ensure that they: </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keepNext w:val="false"/>
        <w:numPr>
          <w:ilvl w:val="0"/>
          <w:numId w:val="19"/>
        </w:numPr>
        <w:tabs>
          <w:tab w:val="left" w:pos="720" w:leader="none"/>
        </w:tabs>
        <w:spacing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examine and fully inform themselves in relation to all aspects of the ITB, including the Contract and all other documents included or referred to in this ITB;</w:t>
      </w:r>
    </w:p>
    <w:p>
      <w:pPr>
        <w:pStyle w:val="Heading3"/>
        <w:keepNext w:val="false"/>
        <w:tabs>
          <w:tab w:val="left" w:pos="720" w:leader="none"/>
        </w:tabs>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19"/>
        </w:numPr>
        <w:tabs>
          <w:tab w:val="left" w:pos="720" w:leader="none"/>
        </w:tabs>
        <w:spacing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review the ITB to ensure that they have a complete copy of all documents;</w:t>
      </w:r>
    </w:p>
    <w:p>
      <w:pPr>
        <w:pStyle w:val="Heading3"/>
        <w:keepNext w:val="false"/>
        <w:tabs>
          <w:tab w:val="left" w:pos="720" w:leader="none"/>
        </w:tabs>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19"/>
        </w:numPr>
        <w:tabs>
          <w:tab w:val="left" w:pos="720" w:leader="none"/>
        </w:tabs>
        <w:spacing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obtain and examine all other information relevant to the project and the scope of the works available on reasonable enquiry;</w:t>
      </w:r>
    </w:p>
    <w:p>
      <w:pPr>
        <w:pStyle w:val="Heading3"/>
        <w:keepNext w:val="false"/>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19"/>
        </w:numPr>
        <w:spacing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verify all relevant representations, statements and information, including those contained or referred to in the ITB or made orally during any clarification meeting or site Inspection or any discussion with UNOPS, its employees or agents;</w:t>
      </w:r>
    </w:p>
    <w:p>
      <w:pPr>
        <w:pStyle w:val="Heading3"/>
        <w:keepNext w:val="false"/>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19"/>
        </w:numPr>
        <w:spacing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attend any Clarification Meeting or Site Inspection that is mandatory under this ITB; </w:t>
      </w:r>
    </w:p>
    <w:p>
      <w:pPr>
        <w:pStyle w:val="Heading3"/>
        <w:keepNext w:val="false"/>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19"/>
        </w:numPr>
        <w:spacing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fully inform and satisfy themselves as to requirements of any relevant authorities and laws that apply, or may in the future apply, to the execution of the works; and</w:t>
      </w:r>
    </w:p>
    <w:p>
      <w:pPr>
        <w:pStyle w:val="Heading3"/>
        <w:keepNext w:val="false"/>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19"/>
        </w:numPr>
        <w:spacing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form their own assessment of the nature and extent of work required to execute the works and properly account for all work in their bid.</w:t>
      </w:r>
    </w:p>
    <w:p>
      <w:pPr>
        <w:pStyle w:val="Heading3"/>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Bidders acknowledge and agree that the ITB does not purport to contain all relevant information in relation to the works and is provided solely on the basis that bidders shall be responsible for making their own assessment of the matters referred to in the ITB, including the Contract (see Section V).</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Bidders acknowledge that UNOPS, its directors, employees and agents make no representations or warranties (express or implied) as to the accuracy, currency or completeness of this ITB or any other information provided to the bidders. </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UNOPS MINOR WORKS CONTRACT</w:t>
      </w:r>
    </w:p>
    <w:p>
      <w:pPr>
        <w:pStyle w:val="Normal"/>
        <w:spacing w:before="0" w:after="0"/>
        <w:jc w:val="both"/>
        <w:rPr>
          <w:color w:val="000000"/>
        </w:rPr>
      </w:pPr>
      <w:r>
        <w:rPr>
          <w:color w:val="000000"/>
        </w:rPr>
      </w:r>
    </w:p>
    <w:p>
      <w:pPr>
        <w:pStyle w:val="Normal"/>
        <w:spacing w:before="0" w:after="0"/>
        <w:jc w:val="both"/>
        <w:rPr>
          <w:color w:val="000000"/>
        </w:rPr>
      </w:pPr>
      <w:r>
        <w:rPr>
          <w:color w:val="000000"/>
        </w:rPr>
        <w:t>Bidders shall be willing to sign the Contract (see Section V), without departure, qualification, amendment, limitation or exclusion should they be selected as a result of this bid process.</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CLARIFICATION OF THE ITB</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Bidders may request clarification of the ITB or bid process by submitting a written request to the contact stated in the Bid Particulars in Section I up to the time stated in the Bid Particulars in Section I and thereafter requests for clarification will not be accepted. </w:t>
      </w:r>
    </w:p>
    <w:p>
      <w:pPr>
        <w:pStyle w:val="Normal"/>
        <w:spacing w:before="0" w:after="0"/>
        <w:jc w:val="both"/>
        <w:rPr>
          <w:color w:val="000000"/>
        </w:rPr>
      </w:pPr>
      <w:r>
        <w:rPr>
          <w:color w:val="000000"/>
        </w:rPr>
      </w:r>
    </w:p>
    <w:p>
      <w:pPr>
        <w:pStyle w:val="Normal"/>
        <w:spacing w:before="0" w:after="0"/>
        <w:jc w:val="both"/>
        <w:rPr>
          <w:color w:val="000000"/>
        </w:rPr>
      </w:pPr>
      <w:r>
        <w:rPr>
          <w:color w:val="000000"/>
        </w:rPr>
        <w:t>UNOPS shall gather all requests for clarification and may respond in writing to all such requests at the same time. Responses to requests for clarification shall be communicated directly to all bidders that received the ITB directly from UNOPS if the ITB was not available online, and/or, if the ITB was available online or if stated in the Bid Particulars in Section I,</w:t>
      </w:r>
      <w:r>
        <w:rPr>
          <w:b/>
          <w:color w:val="000000"/>
        </w:rPr>
        <w:t xml:space="preserve"> </w:t>
      </w:r>
      <w:r>
        <w:rPr>
          <w:color w:val="000000"/>
        </w:rPr>
        <w:t>responses will be posted online without disclosing the names of the bidders who submitted the requests for clarification.</w:t>
      </w:r>
      <w:r>
        <w:br w:type="page"/>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19" w:name="_3rdcrjn"/>
      <w:bookmarkEnd w:id="19"/>
      <w:r>
        <w:rPr>
          <w:rFonts w:eastAsia="Arial" w:cs="Arial" w:ascii="Arial" w:hAnsi="Arial"/>
          <w:smallCaps/>
          <w:color w:val="000000"/>
          <w:sz w:val="22"/>
          <w:szCs w:val="22"/>
        </w:rPr>
        <w:t>CLARIFICATION MEETINGS</w:t>
      </w:r>
    </w:p>
    <w:p>
      <w:pPr>
        <w:pStyle w:val="Normal"/>
        <w:spacing w:before="0" w:after="0"/>
        <w:jc w:val="both"/>
        <w:rPr>
          <w:color w:val="000000"/>
        </w:rPr>
      </w:pPr>
      <w:r>
        <w:rPr>
          <w:color w:val="000000"/>
        </w:rPr>
      </w:r>
    </w:p>
    <w:p>
      <w:pPr>
        <w:pStyle w:val="Normal"/>
        <w:spacing w:before="0" w:after="0"/>
        <w:jc w:val="both"/>
        <w:rPr>
          <w:color w:val="000000"/>
        </w:rPr>
      </w:pPr>
      <w:r>
        <w:rPr>
          <w:color w:val="000000"/>
        </w:rPr>
        <w:t>Unless otherwise instructed in writing by UNOPS, a clarification meeting will only be held if stated in the Bid Particulars in Section I,</w:t>
      </w:r>
      <w:r>
        <w:rPr>
          <w:i/>
          <w:color w:val="000000"/>
        </w:rPr>
        <w:t xml:space="preserve"> </w:t>
      </w:r>
      <w:r>
        <w:rPr>
          <w:color w:val="000000"/>
        </w:rPr>
        <w:t xml:space="preserve">at the time and place and in accordance with any instructions set out in the Bid Particulars in Section I. </w:t>
      </w:r>
    </w:p>
    <w:p>
      <w:pPr>
        <w:pStyle w:val="Normal"/>
        <w:spacing w:before="0" w:after="0"/>
        <w:jc w:val="both"/>
        <w:rPr>
          <w:color w:val="000000"/>
        </w:rPr>
      </w:pPr>
      <w:r>
        <w:rPr>
          <w:color w:val="000000"/>
        </w:rPr>
      </w:r>
    </w:p>
    <w:p>
      <w:pPr>
        <w:pStyle w:val="Normal"/>
        <w:spacing w:before="0" w:after="0"/>
        <w:jc w:val="both"/>
        <w:rPr>
          <w:color w:val="000000"/>
        </w:rPr>
      </w:pPr>
      <w:r>
        <w:rPr>
          <w:color w:val="000000"/>
        </w:rPr>
        <w:t>If the Bid Particulars in Section I state that a clarification meeting shall be mandatory, a bidder which does not attend the clarification meeting shall become ineligible to submit a bid under this ITB.</w:t>
      </w:r>
    </w:p>
    <w:p>
      <w:pPr>
        <w:pStyle w:val="Normal"/>
        <w:spacing w:before="0" w:after="0"/>
        <w:jc w:val="both"/>
        <w:rPr>
          <w:color w:val="000000"/>
          <w:highlight w:val="lightGray"/>
        </w:rPr>
      </w:pPr>
      <w:r>
        <w:rPr>
          <w:color w:val="000000"/>
          <w:highlight w:val="lightGray"/>
        </w:rPr>
      </w:r>
    </w:p>
    <w:p>
      <w:pPr>
        <w:pStyle w:val="Normal"/>
        <w:spacing w:before="0" w:after="0"/>
        <w:jc w:val="both"/>
        <w:rPr>
          <w:color w:val="000000"/>
        </w:rPr>
      </w:pPr>
      <w:r>
        <w:rPr>
          <w:color w:val="000000"/>
        </w:rPr>
        <w:t xml:space="preserve">The names of representatives of bidders who will attend the clarification meeting shall be submitted in writing by bidders to the UNOPS contact person listed in the Bid Particulars in Section I, including the full name and position of each representative at least 24 hours before the clarification meeting is to be held.  </w:t>
      </w:r>
    </w:p>
    <w:p>
      <w:pPr>
        <w:pStyle w:val="Normal"/>
        <w:spacing w:before="0" w:after="0"/>
        <w:jc w:val="both"/>
        <w:rPr>
          <w:color w:val="000000"/>
        </w:rPr>
      </w:pPr>
      <w:r>
        <w:rPr>
          <w:color w:val="000000"/>
        </w:rPr>
      </w:r>
    </w:p>
    <w:p>
      <w:pPr>
        <w:pStyle w:val="Normal"/>
        <w:spacing w:before="0" w:after="0"/>
        <w:jc w:val="both"/>
        <w:rPr>
          <w:color w:val="000000"/>
        </w:rPr>
      </w:pPr>
      <w:r>
        <w:rPr>
          <w:color w:val="000000"/>
        </w:rPr>
        <w:t>UNOPS will not issue any formal answers to questions from bidders regarding the ITB or bid process during the clarification meeting. All questions shall be submitted in accordance with Article 8.</w:t>
      </w:r>
    </w:p>
    <w:p>
      <w:pPr>
        <w:pStyle w:val="Normal"/>
        <w:spacing w:before="0" w:after="0"/>
        <w:jc w:val="both"/>
        <w:rPr>
          <w:color w:val="000000"/>
        </w:rPr>
      </w:pPr>
      <w:r>
        <w:rPr>
          <w:color w:val="000000"/>
        </w:rPr>
      </w:r>
    </w:p>
    <w:p>
      <w:pPr>
        <w:pStyle w:val="Normal"/>
        <w:spacing w:before="0" w:after="0"/>
        <w:jc w:val="both"/>
        <w:rPr>
          <w:color w:val="000000"/>
        </w:rPr>
      </w:pPr>
      <w:r>
        <w:rPr>
          <w:color w:val="000000"/>
        </w:rPr>
        <w:t>The clarification meeting shall be conducted for the purpose of providing background information only. Without limiting Article 6, bidders shall not rely upon any information, statement or representation made at the clarification meeting unless that information, statement or representation is confirmed by UNOPS in writing.</w:t>
      </w:r>
    </w:p>
    <w:p>
      <w:pPr>
        <w:pStyle w:val="Normal"/>
        <w:spacing w:before="0" w:after="0"/>
        <w:jc w:val="both"/>
        <w:rPr>
          <w:color w:val="000000"/>
        </w:rPr>
      </w:pPr>
      <w:r>
        <w:rPr>
          <w:color w:val="000000"/>
        </w:rPr>
      </w:r>
    </w:p>
    <w:p>
      <w:pPr>
        <w:pStyle w:val="Normal"/>
        <w:spacing w:before="0" w:after="0"/>
        <w:jc w:val="both"/>
        <w:rPr>
          <w:color w:val="000000"/>
        </w:rPr>
      </w:pPr>
      <w:r>
        <w:rPr>
          <w:color w:val="000000"/>
        </w:rPr>
        <w:t>UNOPS shall prepare minutes of the clarification meeting and communicate them in writing directly to all bidders which received the bid documents directly from UNOPS if the ITB was not available online, and/or, if the ITB was available online or if stated in the Bid Particulars in Section I,</w:t>
      </w:r>
      <w:r>
        <w:rPr>
          <w:b/>
          <w:color w:val="000000"/>
        </w:rPr>
        <w:t xml:space="preserve"> </w:t>
      </w:r>
      <w:r>
        <w:rPr>
          <w:color w:val="000000"/>
        </w:rPr>
        <w:t>the minutes will be posted online without disclosing the names of the bidders who attended the clarification meeting, shortly after the clarification meeting.</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SITE INSPECTION</w:t>
      </w:r>
    </w:p>
    <w:p>
      <w:pPr>
        <w:pStyle w:val="Normal"/>
        <w:spacing w:before="0" w:after="0"/>
        <w:jc w:val="both"/>
        <w:rPr>
          <w:color w:val="000000"/>
        </w:rPr>
      </w:pPr>
      <w:r>
        <w:rPr>
          <w:color w:val="000000"/>
        </w:rPr>
      </w:r>
    </w:p>
    <w:p>
      <w:pPr>
        <w:pStyle w:val="Normal"/>
        <w:spacing w:before="0" w:after="0"/>
        <w:jc w:val="both"/>
        <w:rPr>
          <w:color w:val="000000"/>
        </w:rPr>
      </w:pPr>
      <w:r>
        <w:rPr>
          <w:color w:val="000000"/>
        </w:rPr>
        <w:t>Unless otherwise instructed in writing by UNOPS, a site visit will only be held if stated in the Bid Particulars in Section I,</w:t>
      </w:r>
      <w:r>
        <w:rPr>
          <w:i/>
          <w:color w:val="000000"/>
        </w:rPr>
        <w:t xml:space="preserve"> </w:t>
      </w:r>
      <w:r>
        <w:rPr>
          <w:color w:val="000000"/>
        </w:rPr>
        <w:t>at the time and place and in accordance with any instructions set out in the Bid Particulars in Section I.</w:t>
      </w:r>
    </w:p>
    <w:p>
      <w:pPr>
        <w:pStyle w:val="Normal"/>
        <w:spacing w:before="0" w:after="0"/>
        <w:jc w:val="both"/>
        <w:rPr>
          <w:color w:val="000000"/>
        </w:rPr>
      </w:pPr>
      <w:r>
        <w:rPr>
          <w:color w:val="000000"/>
        </w:rPr>
      </w:r>
    </w:p>
    <w:p>
      <w:pPr>
        <w:pStyle w:val="Normal"/>
        <w:spacing w:before="0" w:after="0"/>
        <w:jc w:val="both"/>
        <w:rPr>
          <w:color w:val="000000"/>
        </w:rPr>
      </w:pPr>
      <w:r>
        <w:rPr>
          <w:color w:val="000000"/>
        </w:rPr>
        <w:t>If the Bid Particulars in Section I state that a site inspection shall be mandatory, a bidder which does not attend the site inspection shall become ineligible to submit a bid under this ITB.</w:t>
      </w:r>
    </w:p>
    <w:p>
      <w:pPr>
        <w:pStyle w:val="Normal"/>
        <w:spacing w:before="0" w:after="0"/>
        <w:jc w:val="both"/>
        <w:rPr>
          <w:color w:val="000000"/>
          <w:highlight w:val="lightGray"/>
        </w:rPr>
      </w:pPr>
      <w:r>
        <w:rPr>
          <w:color w:val="000000"/>
          <w:highlight w:val="lightGray"/>
        </w:rPr>
      </w:r>
    </w:p>
    <w:p>
      <w:pPr>
        <w:pStyle w:val="Normal"/>
        <w:spacing w:before="0" w:after="0"/>
        <w:jc w:val="both"/>
        <w:rPr>
          <w:color w:val="000000"/>
        </w:rPr>
      </w:pPr>
      <w:r>
        <w:rPr>
          <w:color w:val="000000"/>
        </w:rPr>
        <w:t>Bidders participating in a site inspection shall be responsible for:</w:t>
      </w:r>
    </w:p>
    <w:p>
      <w:pPr>
        <w:pStyle w:val="Normal"/>
        <w:spacing w:before="0" w:after="0"/>
        <w:jc w:val="both"/>
        <w:rPr>
          <w:color w:val="000000"/>
        </w:rPr>
      </w:pPr>
      <w:r>
        <w:rPr>
          <w:color w:val="000000"/>
        </w:rPr>
      </w:r>
    </w:p>
    <w:p>
      <w:pPr>
        <w:pStyle w:val="Heading3"/>
        <w:keepNext w:val="false"/>
        <w:numPr>
          <w:ilvl w:val="0"/>
          <w:numId w:val="24"/>
        </w:numPr>
        <w:tabs>
          <w:tab w:val="left" w:pos="720" w:leader="none"/>
        </w:tabs>
        <w:spacing w:before="0" w:after="0"/>
        <w:jc w:val="both"/>
        <w:rPr>
          <w:rFonts w:ascii="Arial" w:hAnsi="Arial" w:eastAsia="Arial" w:cs="Arial"/>
          <w:color w:val="000000"/>
          <w:sz w:val="22"/>
          <w:szCs w:val="22"/>
        </w:rPr>
      </w:pPr>
      <w:r>
        <w:rPr>
          <w:rFonts w:eastAsia="Arial" w:cs="Arial" w:ascii="Arial" w:hAnsi="Arial"/>
          <w:b w:val="false"/>
          <w:color w:val="000000"/>
          <w:sz w:val="22"/>
          <w:szCs w:val="22"/>
        </w:rPr>
        <w:t xml:space="preserve">arranging for and wearing personal protective equipment, including at a minimum safety helmets, boots and reflective vests; and </w:t>
      </w:r>
    </w:p>
    <w:p>
      <w:pPr>
        <w:pStyle w:val="Heading3"/>
        <w:keepNext w:val="false"/>
        <w:tabs>
          <w:tab w:val="left" w:pos="720" w:leader="none"/>
        </w:tabs>
        <w:spacing w:before="0" w:after="0"/>
        <w:ind w:left="1440" w:hanging="0"/>
        <w:jc w:val="both"/>
        <w:rPr>
          <w:rFonts w:ascii="Arial" w:hAnsi="Arial" w:eastAsia="Arial" w:cs="Arial"/>
          <w:color w:val="000000"/>
          <w:sz w:val="22"/>
          <w:szCs w:val="22"/>
        </w:rPr>
      </w:pPr>
      <w:r>
        <w:rPr>
          <w:rFonts w:eastAsia="Arial" w:cs="Arial" w:ascii="Arial" w:hAnsi="Arial"/>
          <w:color w:val="000000"/>
          <w:sz w:val="22"/>
          <w:szCs w:val="22"/>
        </w:rPr>
      </w:r>
    </w:p>
    <w:p>
      <w:pPr>
        <w:pStyle w:val="Heading3"/>
        <w:keepNext w:val="false"/>
        <w:numPr>
          <w:ilvl w:val="0"/>
          <w:numId w:val="24"/>
        </w:numPr>
        <w:tabs>
          <w:tab w:val="left" w:pos="720" w:leader="none"/>
        </w:tabs>
        <w:spacing w:before="0" w:after="0"/>
        <w:jc w:val="both"/>
        <w:rPr>
          <w:rFonts w:ascii="Arial" w:hAnsi="Arial" w:eastAsia="Arial" w:cs="Arial"/>
          <w:color w:val="000000"/>
          <w:sz w:val="22"/>
          <w:szCs w:val="22"/>
        </w:rPr>
      </w:pPr>
      <w:r>
        <w:rPr>
          <w:rFonts w:eastAsia="Arial" w:cs="Arial" w:ascii="Arial" w:hAnsi="Arial"/>
          <w:b w:val="false"/>
          <w:color w:val="000000"/>
          <w:sz w:val="22"/>
          <w:szCs w:val="22"/>
        </w:rPr>
        <w:t xml:space="preserve">making and obtaining any visa arrangements that may be required for the bidders to participate in a site inspection. </w:t>
      </w:r>
    </w:p>
    <w:p>
      <w:pPr>
        <w:pStyle w:val="Normal"/>
        <w:tabs>
          <w:tab w:val="clear" w:pos="720"/>
          <w:tab w:val="left" w:pos="1800" w:leader="none"/>
        </w:tabs>
        <w:spacing w:before="0" w:after="0"/>
        <w:ind w:hanging="720"/>
        <w:jc w:val="both"/>
        <w:rPr>
          <w:color w:val="000000"/>
        </w:rPr>
      </w:pPr>
      <w:r>
        <w:rPr>
          <w:color w:val="000000"/>
        </w:rPr>
      </w:r>
    </w:p>
    <w:p>
      <w:pPr>
        <w:pStyle w:val="Normal"/>
        <w:tabs>
          <w:tab w:val="clear" w:pos="720"/>
          <w:tab w:val="left" w:pos="1800" w:leader="none"/>
        </w:tabs>
        <w:spacing w:before="0" w:after="0"/>
        <w:ind w:hanging="720"/>
        <w:jc w:val="both"/>
        <w:rPr>
          <w:color w:val="000000"/>
        </w:rPr>
      </w:pPr>
      <w:r>
        <w:rPr>
          <w:color w:val="000000"/>
        </w:rPr>
        <w:t>Prior to attending a site inspection, bidders shall execute an indemnity and a waiver releasing UNOPS in respect of any liability that may arise from:</w:t>
      </w:r>
    </w:p>
    <w:p>
      <w:pPr>
        <w:pStyle w:val="Normal"/>
        <w:tabs>
          <w:tab w:val="clear" w:pos="720"/>
          <w:tab w:val="left" w:pos="1440" w:leader="none"/>
        </w:tabs>
        <w:spacing w:before="0" w:after="0"/>
        <w:ind w:left="1440" w:hanging="720"/>
        <w:jc w:val="both"/>
        <w:rPr>
          <w:color w:val="000000"/>
        </w:rPr>
      </w:pPr>
      <w:r>
        <w:rPr>
          <w:color w:val="000000"/>
        </w:rPr>
      </w:r>
    </w:p>
    <w:p>
      <w:pPr>
        <w:pStyle w:val="Normal"/>
        <w:numPr>
          <w:ilvl w:val="1"/>
          <w:numId w:val="6"/>
        </w:numPr>
        <w:tabs>
          <w:tab w:val="clear" w:pos="720"/>
          <w:tab w:val="left" w:pos="1440" w:leader="none"/>
        </w:tabs>
        <w:spacing w:before="0" w:after="0"/>
        <w:ind w:left="1440" w:hanging="720"/>
        <w:jc w:val="both"/>
        <w:rPr>
          <w:color w:val="000000"/>
        </w:rPr>
      </w:pPr>
      <w:r>
        <w:rPr>
          <w:color w:val="000000"/>
        </w:rPr>
        <w:t>loss of or damage to any real or personal property;</w:t>
      </w:r>
    </w:p>
    <w:p>
      <w:pPr>
        <w:pStyle w:val="Normal"/>
        <w:tabs>
          <w:tab w:val="clear" w:pos="720"/>
          <w:tab w:val="left" w:pos="1440" w:leader="none"/>
        </w:tabs>
        <w:spacing w:before="0" w:after="0"/>
        <w:ind w:left="1440" w:hanging="720"/>
        <w:jc w:val="both"/>
        <w:rPr>
          <w:color w:val="000000"/>
        </w:rPr>
      </w:pPr>
      <w:r>
        <w:rPr>
          <w:color w:val="000000"/>
        </w:rPr>
      </w:r>
    </w:p>
    <w:p>
      <w:pPr>
        <w:pStyle w:val="Normal"/>
        <w:numPr>
          <w:ilvl w:val="1"/>
          <w:numId w:val="6"/>
        </w:numPr>
        <w:tabs>
          <w:tab w:val="clear" w:pos="720"/>
          <w:tab w:val="left" w:pos="1440" w:leader="none"/>
        </w:tabs>
        <w:spacing w:before="0" w:after="0"/>
        <w:ind w:left="1440" w:hanging="720"/>
        <w:jc w:val="both"/>
        <w:rPr>
          <w:color w:val="000000"/>
        </w:rPr>
      </w:pPr>
      <w:r>
        <w:rPr>
          <w:color w:val="000000"/>
        </w:rPr>
        <w:t xml:space="preserve">personal injury, disease or illness to, or death of, any person; </w:t>
      </w:r>
    </w:p>
    <w:p>
      <w:pPr>
        <w:pStyle w:val="Normal"/>
        <w:tabs>
          <w:tab w:val="clear" w:pos="720"/>
          <w:tab w:val="left" w:pos="1440" w:leader="none"/>
        </w:tabs>
        <w:spacing w:before="0" w:after="0"/>
        <w:ind w:left="1440" w:hanging="720"/>
        <w:jc w:val="both"/>
        <w:rPr>
          <w:color w:val="000000"/>
        </w:rPr>
      </w:pPr>
      <w:r>
        <w:rPr>
          <w:color w:val="000000"/>
        </w:rPr>
      </w:r>
    </w:p>
    <w:p>
      <w:pPr>
        <w:pStyle w:val="Normal"/>
        <w:numPr>
          <w:ilvl w:val="1"/>
          <w:numId w:val="6"/>
        </w:numPr>
        <w:tabs>
          <w:tab w:val="clear" w:pos="720"/>
          <w:tab w:val="left" w:pos="1440" w:leader="none"/>
        </w:tabs>
        <w:spacing w:before="0" w:after="0"/>
        <w:ind w:left="1440" w:hanging="720"/>
        <w:jc w:val="both"/>
        <w:rPr>
          <w:color w:val="000000"/>
        </w:rPr>
      </w:pPr>
      <w:r>
        <w:rPr>
          <w:color w:val="000000"/>
        </w:rPr>
        <w:t>financial loss or expense, arising out of the carrying out of that site inspection; and</w:t>
      </w:r>
    </w:p>
    <w:p>
      <w:pPr>
        <w:pStyle w:val="Normal"/>
        <w:tabs>
          <w:tab w:val="clear" w:pos="720"/>
          <w:tab w:val="left" w:pos="1440" w:leader="none"/>
        </w:tabs>
        <w:spacing w:before="0" w:after="0"/>
        <w:ind w:left="1440" w:hanging="720"/>
        <w:jc w:val="both"/>
        <w:rPr>
          <w:color w:val="000000"/>
        </w:rPr>
      </w:pPr>
      <w:r>
        <w:rPr>
          <w:color w:val="000000"/>
        </w:rPr>
      </w:r>
    </w:p>
    <w:p>
      <w:pPr>
        <w:pStyle w:val="Normal"/>
        <w:numPr>
          <w:ilvl w:val="1"/>
          <w:numId w:val="6"/>
        </w:numPr>
        <w:tabs>
          <w:tab w:val="clear" w:pos="720"/>
          <w:tab w:val="left" w:pos="1440" w:leader="none"/>
        </w:tabs>
        <w:spacing w:before="0" w:after="0"/>
        <w:ind w:left="1440" w:hanging="720"/>
        <w:jc w:val="both"/>
        <w:rPr>
          <w:color w:val="000000"/>
        </w:rPr>
      </w:pPr>
      <w:r>
        <w:rPr>
          <w:color w:val="000000"/>
        </w:rPr>
        <w:t>transportation by UNOPS to the site (if provided) as a result of any accidents or malicious acts by third parties.</w:t>
      </w:r>
    </w:p>
    <w:p>
      <w:pPr>
        <w:pStyle w:val="Normal"/>
        <w:spacing w:before="0" w:after="0"/>
        <w:ind w:hanging="360"/>
        <w:jc w:val="both"/>
        <w:rPr>
          <w:color w:val="000000"/>
        </w:rPr>
      </w:pPr>
      <w:r>
        <w:rPr>
          <w:color w:val="000000"/>
        </w:rPr>
      </w:r>
    </w:p>
    <w:p>
      <w:pPr>
        <w:pStyle w:val="Normal"/>
        <w:spacing w:before="0" w:after="0"/>
        <w:jc w:val="both"/>
        <w:rPr>
          <w:color w:val="000000"/>
        </w:rPr>
      </w:pPr>
      <w:r>
        <w:rPr>
          <w:color w:val="000000"/>
        </w:rPr>
        <w:t>UNOPS will not issue any formal answers to questions from bidders regarding the ITB or bid process during a site visit. All questions shall be submitted in accordance with Article 8.</w:t>
      </w:r>
    </w:p>
    <w:p>
      <w:pPr>
        <w:pStyle w:val="Normal"/>
        <w:spacing w:before="0" w:after="0"/>
        <w:jc w:val="both"/>
        <w:rPr>
          <w:color w:val="000000"/>
        </w:rPr>
      </w:pPr>
      <w:r>
        <w:rPr>
          <w:color w:val="000000"/>
        </w:rPr>
      </w:r>
    </w:p>
    <w:p>
      <w:pPr>
        <w:pStyle w:val="Normal"/>
        <w:spacing w:before="0" w:after="0"/>
        <w:jc w:val="both"/>
        <w:rPr>
          <w:color w:val="000000"/>
        </w:rPr>
      </w:pPr>
      <w:r>
        <w:rPr>
          <w:color w:val="000000"/>
        </w:rPr>
        <w:t>A site visit will be conducted for the purpose of providing background information only. Without limiting Article 6, bidders shall not rely upon any information, statement or representation made at a site visit unless that information, statement or representation is confirmed by UNOPS in writing.</w:t>
      </w:r>
    </w:p>
    <w:p>
      <w:pPr>
        <w:pStyle w:val="Normal"/>
        <w:spacing w:before="0" w:after="0"/>
        <w:ind w:hanging="36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CONTENT OF BID SUBMISSIONS</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keepNext w:val="true"/>
        <w:keepLines/>
        <w:pBdr>
          <w:bottom w:val="single" w:sz="6" w:space="1" w:color="000000"/>
        </w:pBdr>
        <w:spacing w:before="0" w:after="0"/>
        <w:jc w:val="both"/>
        <w:rPr>
          <w:b/>
          <w:b/>
          <w:color w:val="000000"/>
        </w:rPr>
      </w:pPr>
      <w:r>
        <w:rPr>
          <w:b/>
          <w:color w:val="000000"/>
        </w:rPr>
        <w:t>11.1</w:t>
      </w:r>
    </w:p>
    <w:p>
      <w:pPr>
        <w:pStyle w:val="Normal"/>
        <w:keepNext w:val="true"/>
        <w:keepLines/>
        <w:spacing w:before="0" w:after="0"/>
        <w:jc w:val="both"/>
        <w:rPr>
          <w:b/>
          <w:b/>
          <w:color w:val="000000"/>
        </w:rPr>
      </w:pPr>
      <w:r>
        <w:rPr>
          <w:b/>
          <w:color w:val="000000"/>
        </w:rPr>
        <w:t>Returnable Bid Schedules</w:t>
      </w:r>
    </w:p>
    <w:p>
      <w:pPr>
        <w:pStyle w:val="Normal"/>
        <w:spacing w:before="0" w:after="0"/>
        <w:ind w:hanging="720"/>
        <w:jc w:val="both"/>
        <w:rPr>
          <w:color w:val="000000"/>
        </w:rPr>
      </w:pPr>
      <w:r>
        <w:rPr>
          <w:color w:val="000000"/>
        </w:rPr>
      </w:r>
    </w:p>
    <w:p>
      <w:pPr>
        <w:pStyle w:val="Normal"/>
        <w:spacing w:before="0" w:after="0"/>
        <w:jc w:val="both"/>
        <w:rPr>
          <w:color w:val="000000"/>
        </w:rPr>
      </w:pPr>
      <w:r>
        <w:rPr>
          <w:color w:val="000000"/>
        </w:rPr>
        <w:t>Bids shall include only a fully completed and dated set of the Returnable Bid Schedules, including only the information required by each Returnable Bid Schedule, either completed on the Returnable Bid Schedule document or annexed to the document, as the case may be, each signed in accordance with Article 18 by a person authorised by the bidder to bind it. The Returnable Bid Schedules are set out in Section IV.</w:t>
      </w:r>
    </w:p>
    <w:p>
      <w:pPr>
        <w:pStyle w:val="Normal"/>
        <w:spacing w:before="0" w:after="0"/>
        <w:ind w:hanging="720"/>
        <w:jc w:val="both"/>
        <w:rPr>
          <w:color w:val="000000"/>
        </w:rPr>
      </w:pPr>
      <w:r>
        <w:rPr>
          <w:color w:val="000000"/>
        </w:rPr>
      </w:r>
    </w:p>
    <w:p>
      <w:pPr>
        <w:pStyle w:val="Normal"/>
        <w:keepNext w:val="true"/>
        <w:keepLines/>
        <w:pBdr>
          <w:bottom w:val="single" w:sz="6" w:space="1" w:color="000000"/>
        </w:pBdr>
        <w:spacing w:before="0" w:after="0"/>
        <w:jc w:val="both"/>
        <w:rPr>
          <w:b/>
          <w:b/>
          <w:color w:val="000000"/>
        </w:rPr>
      </w:pPr>
      <w:bookmarkStart w:id="20" w:name="_26in1rg"/>
      <w:bookmarkEnd w:id="20"/>
      <w:r>
        <w:rPr>
          <w:b/>
          <w:color w:val="000000"/>
        </w:rPr>
        <w:t>11.2</w:t>
      </w:r>
    </w:p>
    <w:p>
      <w:pPr>
        <w:pStyle w:val="Heading1"/>
        <w:spacing w:before="0" w:after="0"/>
        <w:jc w:val="both"/>
        <w:rPr>
          <w:rFonts w:ascii="Arial" w:hAnsi="Arial" w:eastAsia="Arial" w:cs="Arial"/>
          <w:color w:val="000000"/>
          <w:sz w:val="22"/>
          <w:szCs w:val="22"/>
        </w:rPr>
      </w:pPr>
      <w:r>
        <w:rPr>
          <w:rFonts w:eastAsia="Arial" w:cs="Arial" w:ascii="Arial" w:hAnsi="Arial"/>
          <w:color w:val="000000"/>
          <w:sz w:val="22"/>
          <w:szCs w:val="22"/>
        </w:rPr>
        <w:t>Other Information</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Bids submitted shall only include information required to be submitted in accordance with the ITB. </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REMUNERATION FOR AND COSTS OF BIDS</w:t>
      </w:r>
    </w:p>
    <w:p>
      <w:pPr>
        <w:pStyle w:val="Normal"/>
        <w:spacing w:before="0" w:after="0"/>
        <w:jc w:val="both"/>
        <w:rPr>
          <w:color w:val="000000"/>
        </w:rPr>
      </w:pPr>
      <w:r>
        <w:rPr>
          <w:color w:val="000000"/>
        </w:rPr>
      </w:r>
    </w:p>
    <w:p>
      <w:pPr>
        <w:pStyle w:val="Normal"/>
        <w:spacing w:before="0" w:after="0"/>
        <w:jc w:val="both"/>
        <w:rPr>
          <w:color w:val="000000"/>
        </w:rPr>
      </w:pPr>
      <w:r>
        <w:rPr>
          <w:color w:val="000000"/>
        </w:rPr>
        <w:t>Bidders shall not be entitled to any remuneration or compensation for the preparation and submission of their bid.</w:t>
      </w:r>
    </w:p>
    <w:p>
      <w:pPr>
        <w:pStyle w:val="Normal"/>
        <w:spacing w:before="0" w:after="0"/>
        <w:jc w:val="both"/>
        <w:rPr>
          <w:color w:val="000000"/>
        </w:rPr>
      </w:pPr>
      <w:r>
        <w:rPr>
          <w:color w:val="000000"/>
        </w:rPr>
        <w:t xml:space="preserve"> </w:t>
      </w:r>
    </w:p>
    <w:p>
      <w:pPr>
        <w:pStyle w:val="Normal"/>
        <w:spacing w:before="0" w:after="0"/>
        <w:jc w:val="both"/>
        <w:rPr>
          <w:color w:val="000000"/>
        </w:rPr>
      </w:pPr>
      <w:r>
        <w:rPr>
          <w:color w:val="000000"/>
        </w:rPr>
        <w:t>Bidders acknowledge that their participation in any stage of the bid process for this ITB is at the bidders' own risk and cost.  UNOPS shall not be responsible for any costs or expenses incurred by bidders in the preparation and submission of bids or participation in the bid process, including as part of any clarification meeting or site or plant inspection.</w:t>
      </w:r>
    </w:p>
    <w:p>
      <w:pPr>
        <w:pStyle w:val="Normal"/>
        <w:spacing w:before="0" w:after="0"/>
        <w:jc w:val="both"/>
        <w:rPr>
          <w:color w:val="000000"/>
        </w:rPr>
      </w:pPr>
      <w:r>
        <w:rPr>
          <w:color w:val="000000"/>
        </w:rPr>
      </w:r>
    </w:p>
    <w:p>
      <w:pPr>
        <w:pStyle w:val="Normal"/>
        <w:spacing w:before="0" w:after="0"/>
        <w:jc w:val="both"/>
        <w:rPr>
          <w:color w:val="000000"/>
        </w:rPr>
      </w:pPr>
      <w:r>
        <w:rPr>
          <w:color w:val="000000"/>
        </w:rPr>
        <w:t>UNOPS is not liable to bidders for any costs, expense or loss on any legal, contractual, quasi contractual or restitutionary basis incurred or suffered in connection with the ITB or bidders' participation in the bid process, including where:</w:t>
      </w:r>
    </w:p>
    <w:p>
      <w:pPr>
        <w:pStyle w:val="Normal"/>
        <w:spacing w:before="0" w:after="0"/>
        <w:jc w:val="both"/>
        <w:rPr>
          <w:color w:val="000000"/>
        </w:rPr>
      </w:pPr>
      <w:r>
        <w:rPr>
          <w:color w:val="000000"/>
        </w:rPr>
      </w:r>
    </w:p>
    <w:p>
      <w:pPr>
        <w:pStyle w:val="Heading3"/>
        <w:keepNext w:val="false"/>
        <w:numPr>
          <w:ilvl w:val="0"/>
          <w:numId w:val="20"/>
        </w:numPr>
        <w:tabs>
          <w:tab w:val="left" w:pos="720" w:leader="none"/>
        </w:tabs>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clarifications and addenda are provided or not provided to bidders;</w:t>
      </w:r>
    </w:p>
    <w:p>
      <w:pPr>
        <w:pStyle w:val="Heading3"/>
        <w:keepNext w:val="false"/>
        <w:tabs>
          <w:tab w:val="left" w:pos="720" w:leader="none"/>
        </w:tabs>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20"/>
        </w:numPr>
        <w:tabs>
          <w:tab w:val="left" w:pos="720" w:leader="none"/>
        </w:tabs>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a bidder is not selected or not engaged to carry out the works;</w:t>
      </w:r>
    </w:p>
    <w:p>
      <w:pPr>
        <w:pStyle w:val="Heading3"/>
        <w:keepNext w:val="false"/>
        <w:tabs>
          <w:tab w:val="left" w:pos="720" w:leader="none"/>
        </w:tabs>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20"/>
        </w:numPr>
        <w:tabs>
          <w:tab w:val="left" w:pos="720" w:leader="none"/>
        </w:tabs>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UNOPS varies, terminates, suspends or delays any aspect of the bid process or conducts another process in its place;</w:t>
      </w:r>
    </w:p>
    <w:p>
      <w:pPr>
        <w:pStyle w:val="Heading3"/>
        <w:keepNext w:val="false"/>
        <w:tabs>
          <w:tab w:val="left" w:pos="720" w:leader="none"/>
        </w:tabs>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20"/>
        </w:numPr>
        <w:tabs>
          <w:tab w:val="left" w:pos="720" w:leader="none"/>
        </w:tabs>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UNOPS elects not to proceed with the ITB in whole or in part; or</w:t>
      </w:r>
    </w:p>
    <w:p>
      <w:pPr>
        <w:pStyle w:val="Heading3"/>
        <w:keepNext w:val="false"/>
        <w:tabs>
          <w:tab w:val="left" w:pos="720" w:leader="none"/>
        </w:tabs>
        <w:spacing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numPr>
          <w:ilvl w:val="0"/>
          <w:numId w:val="20"/>
        </w:numPr>
        <w:tabs>
          <w:tab w:val="left" w:pos="720" w:leader="none"/>
        </w:tabs>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UNOPS exercises any rights under the ITB. </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21" w:name="_lnxbz9"/>
      <w:bookmarkEnd w:id="21"/>
      <w:r>
        <w:rPr>
          <w:rFonts w:eastAsia="Arial" w:cs="Arial" w:ascii="Arial" w:hAnsi="Arial"/>
          <w:smallCaps/>
          <w:color w:val="000000"/>
          <w:sz w:val="22"/>
          <w:szCs w:val="22"/>
        </w:rPr>
        <w:t xml:space="preserve">BID VALIDITY PERIOD </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Bids shall remain valid for acceptance by UNOPS for the entire period set out in the Bid Particulars in Section I.  A bid valid for a shorter period of time shall be rejected.  </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Prior to expiration of the bid validity period, UNOPS may request in writing that the bidders extend the validity of their bids with the same conditions.  The bid of Bidders who decline to extend the validity of their bid shall become disqualified as no longer valid. </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22" w:name="_35nkun2"/>
      <w:bookmarkEnd w:id="22"/>
      <w:r>
        <w:rPr>
          <w:rFonts w:eastAsia="Arial" w:cs="Arial" w:ascii="Arial" w:hAnsi="Arial"/>
          <w:smallCaps/>
          <w:color w:val="000000"/>
          <w:sz w:val="22"/>
          <w:szCs w:val="22"/>
        </w:rPr>
        <w:t xml:space="preserve">PARTIAL BIDS </w:t>
      </w:r>
    </w:p>
    <w:p>
      <w:pPr>
        <w:pStyle w:val="Normal"/>
        <w:spacing w:before="0" w:after="0"/>
        <w:jc w:val="both"/>
        <w:rPr>
          <w:color w:val="000000"/>
        </w:rPr>
      </w:pPr>
      <w:r>
        <w:rPr>
          <w:color w:val="000000"/>
        </w:rPr>
      </w:r>
      <w:bookmarkStart w:id="23" w:name="_1ksv4uv"/>
      <w:bookmarkStart w:id="24" w:name="_1ksv4uv"/>
      <w:bookmarkEnd w:id="24"/>
    </w:p>
    <w:p>
      <w:pPr>
        <w:pStyle w:val="Normal"/>
        <w:spacing w:before="0" w:after="0"/>
        <w:jc w:val="both"/>
        <w:rPr>
          <w:color w:val="000000"/>
        </w:rPr>
      </w:pPr>
      <w:r>
        <w:rPr>
          <w:color w:val="000000"/>
        </w:rPr>
        <w:t>Bidders shall respond to all applicable Returnable Bid Schedules and shall bid for all sections of the works. UNOPS will NOT accept bids for one or several sections of the works only, nor will UNOPS accept bids for only part of the works or part of any section of the works.</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 xml:space="preserve">ALTERNATIVE BIDS </w:t>
      </w:r>
    </w:p>
    <w:p>
      <w:pPr>
        <w:pStyle w:val="Normal"/>
        <w:spacing w:before="0" w:after="0"/>
        <w:jc w:val="both"/>
        <w:rPr>
          <w:color w:val="000000"/>
        </w:rPr>
      </w:pPr>
      <w:r>
        <w:rPr>
          <w:color w:val="000000"/>
        </w:rPr>
      </w:r>
      <w:bookmarkStart w:id="25" w:name="_44sinio"/>
      <w:bookmarkStart w:id="26" w:name="_44sinio"/>
      <w:bookmarkEnd w:id="26"/>
    </w:p>
    <w:p>
      <w:pPr>
        <w:pStyle w:val="Normal"/>
        <w:spacing w:before="0" w:after="0"/>
        <w:jc w:val="both"/>
        <w:rPr>
          <w:color w:val="000000"/>
        </w:rPr>
      </w:pPr>
      <w:r>
        <w:rPr>
          <w:color w:val="000000"/>
        </w:rPr>
        <w:t xml:space="preserve">Alternative bids will not be evaluated. </w:t>
      </w:r>
    </w:p>
    <w:p>
      <w:pPr>
        <w:pStyle w:val="Normal"/>
        <w:spacing w:before="0" w:after="0"/>
        <w:jc w:val="both"/>
        <w:rPr>
          <w:color w:val="000000"/>
        </w:rPr>
      </w:pPr>
      <w:r>
        <w:rPr>
          <w:color w:val="000000"/>
        </w:rPr>
      </w:r>
    </w:p>
    <w:p>
      <w:pPr>
        <w:pStyle w:val="Normal"/>
        <w:spacing w:before="0" w:after="0"/>
        <w:jc w:val="both"/>
        <w:rPr>
          <w:color w:val="000000"/>
        </w:rPr>
      </w:pPr>
      <w:r>
        <w:rPr>
          <w:color w:val="000000"/>
        </w:rPr>
        <w:t>If a bidder submits more than one bid:</w:t>
      </w:r>
    </w:p>
    <w:p>
      <w:pPr>
        <w:pStyle w:val="Normal"/>
        <w:spacing w:before="0" w:after="0"/>
        <w:jc w:val="both"/>
        <w:rPr>
          <w:color w:val="000000"/>
        </w:rPr>
      </w:pPr>
      <w:r>
        <w:rPr>
          <w:color w:val="000000"/>
        </w:rPr>
      </w:r>
    </w:p>
    <w:p>
      <w:pPr>
        <w:pStyle w:val="Normal"/>
        <w:numPr>
          <w:ilvl w:val="0"/>
          <w:numId w:val="2"/>
        </w:numPr>
        <w:spacing w:before="0" w:after="0"/>
        <w:ind w:left="1440" w:hanging="720"/>
        <w:jc w:val="both"/>
        <w:rPr>
          <w:color w:val="000000"/>
        </w:rPr>
      </w:pPr>
      <w:r>
        <w:rPr>
          <w:color w:val="000000"/>
        </w:rPr>
        <w:t>All bids marked as “Alternative Bid” will be disqualified and only the bid marked as “Initial Bid” will be evaluated; or,</w:t>
      </w:r>
    </w:p>
    <w:p>
      <w:pPr>
        <w:pStyle w:val="Normal"/>
        <w:spacing w:before="0" w:after="0"/>
        <w:ind w:left="1440" w:hanging="720"/>
        <w:jc w:val="both"/>
        <w:rPr>
          <w:color w:val="000000"/>
        </w:rPr>
      </w:pPr>
      <w:r>
        <w:rPr>
          <w:color w:val="000000"/>
        </w:rPr>
      </w:r>
    </w:p>
    <w:p>
      <w:pPr>
        <w:pStyle w:val="Normal"/>
        <w:numPr>
          <w:ilvl w:val="0"/>
          <w:numId w:val="2"/>
        </w:numPr>
        <w:spacing w:before="0" w:after="0"/>
        <w:ind w:left="1440" w:hanging="720"/>
        <w:jc w:val="both"/>
        <w:rPr>
          <w:color w:val="000000"/>
        </w:rPr>
      </w:pPr>
      <w:r>
        <w:rPr>
          <w:color w:val="000000"/>
        </w:rPr>
        <w:t>All bids will be rejected if no indication is provided as to which bid is the original bid and which is/are the alternative bid(s).</w:t>
      </w:r>
    </w:p>
    <w:p>
      <w:pPr>
        <w:pStyle w:val="Normal"/>
        <w:spacing w:before="0" w:after="0"/>
        <w:ind w:left="1440" w:hanging="720"/>
        <w:jc w:val="both"/>
        <w:rPr>
          <w:color w:val="000000"/>
        </w:rPr>
      </w:pPr>
      <w:r>
        <w:rPr>
          <w:color w:val="000000"/>
        </w:rPr>
        <w:t xml:space="preserve"> </w:t>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27" w:name="_2jxsxqh"/>
      <w:bookmarkEnd w:id="27"/>
      <w:r>
        <w:rPr>
          <w:rFonts w:eastAsia="Arial" w:cs="Arial" w:ascii="Arial" w:hAnsi="Arial"/>
          <w:smallCaps/>
          <w:color w:val="000000"/>
          <w:sz w:val="22"/>
          <w:szCs w:val="22"/>
        </w:rPr>
        <w:t xml:space="preserve">BID CURRENCIE(S) </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rFonts w:ascii="Arial" w:hAnsi="Arial" w:eastAsia="Arial" w:cs="Arial"/>
          <w:smallCaps/>
          <w:color w:val="000000"/>
          <w:sz w:val="22"/>
          <w:szCs w:val="22"/>
        </w:rPr>
      </w:pPr>
      <w:r>
        <w:rPr/>
        <w:t>Prices in the bid shall be quoted in the currenc(ies) stated in the Bid Particulars in Section I. If applicable, for comparison and evaluation purposes, UNOPS will convert the bid prices into USD at the official United Nations rate of exchange in force at the time of the Deadline for Bid Submission.</w:t>
      </w:r>
    </w:p>
    <w:p>
      <w:pPr>
        <w:pStyle w:val="Normal"/>
        <w:spacing w:before="0" w:after="0"/>
        <w:jc w:val="both"/>
        <w:rPr>
          <w:color w:val="000000"/>
        </w:rPr>
      </w:pPr>
      <w:r>
        <w:rPr>
          <w:color w:val="000000"/>
        </w:rPr>
      </w:r>
    </w:p>
    <w:p>
      <w:pPr>
        <w:pStyle w:val="Normal"/>
        <w:spacing w:before="0" w:after="0"/>
        <w:rPr>
          <w:rFonts w:ascii="Arial" w:hAnsi="Arial" w:eastAsia="Arial" w:cs="Arial"/>
          <w:smallCaps/>
          <w:color w:val="000000"/>
          <w:sz w:val="22"/>
          <w:szCs w:val="22"/>
        </w:rPr>
      </w:pPr>
      <w:r>
        <w:rPr/>
        <w:t xml:space="preserve">Bid Prices shall be fixed.  Bids with adjustable Bid Prices shall be disqualified. </w:t>
      </w:r>
      <w:r>
        <w:br w:type="page"/>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28" w:name="_z337ya"/>
      <w:bookmarkEnd w:id="28"/>
      <w:r>
        <w:rPr>
          <w:rFonts w:eastAsia="Arial" w:cs="Arial" w:ascii="Arial" w:hAnsi="Arial"/>
          <w:smallCaps/>
          <w:color w:val="000000"/>
          <w:sz w:val="22"/>
          <w:szCs w:val="22"/>
        </w:rPr>
        <w:t>DUTIES AND TAXES</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UNOPS is a tax exempt entity.  All bids shall be submitted net of any direct taxes and any other taxes and duties, unless otherwise specified in the Bid Particulars in Section I. </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BID FORMAT</w:t>
      </w:r>
    </w:p>
    <w:p>
      <w:pPr>
        <w:pStyle w:val="Normal"/>
        <w:spacing w:before="0" w:after="0"/>
        <w:ind w:hanging="360"/>
        <w:jc w:val="both"/>
        <w:rPr>
          <w:color w:val="000000"/>
        </w:rPr>
      </w:pPr>
      <w:r>
        <w:rPr>
          <w:color w:val="000000"/>
        </w:rPr>
      </w:r>
    </w:p>
    <w:p>
      <w:pPr>
        <w:pStyle w:val="Normal"/>
        <w:spacing w:before="0" w:after="0"/>
        <w:jc w:val="both"/>
        <w:rPr>
          <w:rFonts w:ascii="Arial" w:hAnsi="Arial" w:eastAsia="Arial" w:cs="Arial"/>
          <w:smallCaps/>
          <w:color w:val="000000"/>
          <w:sz w:val="22"/>
          <w:szCs w:val="22"/>
        </w:rPr>
      </w:pPr>
      <w:bookmarkStart w:id="29" w:name="_3j2qqm3"/>
      <w:bookmarkEnd w:id="29"/>
      <w:r>
        <w:rPr/>
        <w:t>A bid shall contain no interlineations, erasures, or overwriting. If necessary to correct errors made by a Bidder, hand written corrections to the bid may be made before the submission and/or the Deadline for Bid Submission. In this case, such corrections shall be initialed by the person or persons who signed the bid.</w:t>
      </w:r>
    </w:p>
    <w:p>
      <w:pPr>
        <w:pStyle w:val="Normal"/>
        <w:spacing w:before="0" w:after="0"/>
        <w:ind w:hanging="360"/>
        <w:jc w:val="both"/>
        <w:rPr>
          <w:color w:val="000000"/>
        </w:rPr>
      </w:pPr>
      <w:r>
        <w:rPr>
          <w:color w:val="000000"/>
        </w:rPr>
      </w:r>
    </w:p>
    <w:p>
      <w:pPr>
        <w:pStyle w:val="Normal"/>
        <w:spacing w:before="0" w:after="0"/>
        <w:jc w:val="both"/>
        <w:rPr>
          <w:color w:val="000000"/>
        </w:rPr>
      </w:pPr>
      <w:r>
        <w:rPr>
          <w:color w:val="000000"/>
        </w:rPr>
        <w:t>Bids shall be signed by the person authorized to do so in Returnable Bid Schedule 1 –</w:t>
      </w:r>
      <w:r>
        <w:rPr>
          <w:b/>
          <w:i/>
          <w:color w:val="000000"/>
        </w:rPr>
        <w:t xml:space="preserve"> </w:t>
      </w:r>
      <w:r>
        <w:rPr>
          <w:color w:val="000000"/>
        </w:rPr>
        <w:t>Form of Bid (see Section IV). That person shall be authorized by the bidder to bind the bidder.  A copy of such authorization shall be submitted along with the bid.</w:t>
      </w:r>
    </w:p>
    <w:p>
      <w:pPr>
        <w:pStyle w:val="Normal"/>
        <w:spacing w:before="0" w:after="0"/>
        <w:ind w:hanging="36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 xml:space="preserve">LANGUAGE OF BIDS </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All bids, information, documents and correspondence exchanged between UNOPS and the bidders in relation to this bid process shall be in the language set out in the Bid Particulars in Section I.  </w:t>
      </w:r>
    </w:p>
    <w:p>
      <w:pPr>
        <w:pStyle w:val="Normal"/>
        <w:spacing w:before="0" w:after="0"/>
        <w:jc w:val="both"/>
        <w:rPr>
          <w:color w:val="000000"/>
        </w:rPr>
      </w:pPr>
      <w:r>
        <w:rPr>
          <w:color w:val="000000"/>
        </w:rPr>
      </w:r>
    </w:p>
    <w:p>
      <w:pPr>
        <w:pStyle w:val="Normal"/>
        <w:spacing w:before="0" w:after="0"/>
        <w:rPr>
          <w:color w:val="000000"/>
        </w:rPr>
      </w:pPr>
      <w:r>
        <w:rPr>
          <w:color w:val="000000"/>
        </w:rPr>
        <w:t xml:space="preserve">Supporting documents may be submitted in their original language.  If such language is different from that set out in the Bid Particulars in Section I, the supporting documents shall be submitted together with a translation of the supporting documents’ relevant excerpts. </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DEADLINE FOR BID SUBMISSION</w:t>
      </w:r>
    </w:p>
    <w:p>
      <w:pPr>
        <w:pStyle w:val="Heading3"/>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spacing w:before="0" w:after="0"/>
        <w:jc w:val="both"/>
        <w:rPr>
          <w:rFonts w:ascii="Arial" w:hAnsi="Arial" w:eastAsia="Arial" w:cs="Arial"/>
          <w:b w:val="false"/>
          <w:b w:val="false"/>
          <w:color w:val="000000"/>
          <w:sz w:val="22"/>
          <w:szCs w:val="22"/>
        </w:rPr>
      </w:pPr>
      <w:bookmarkStart w:id="30" w:name="_1y810tw"/>
      <w:bookmarkEnd w:id="30"/>
      <w:r>
        <w:rPr>
          <w:rFonts w:eastAsia="Arial" w:cs="Arial" w:ascii="Arial" w:hAnsi="Arial"/>
          <w:b w:val="false"/>
          <w:color w:val="000000"/>
          <w:sz w:val="22"/>
          <w:szCs w:val="22"/>
        </w:rPr>
        <w:t>All bids shall be received by UNOPS by no later than the time and date set out in the Bid Particulars in Section I.  It shall be the sole responsibility of the bidders to ensure that their bid is received by the Closing Date.  UNOPS may reject any bid received after the Deadline for Bid Submission.</w:t>
      </w:r>
    </w:p>
    <w:p>
      <w:pPr>
        <w:pStyle w:val="Heading3"/>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3"/>
        <w:keepNext w:val="false"/>
        <w:spacing w:before="0" w:after="0"/>
        <w:jc w:val="both"/>
        <w:rPr>
          <w:rFonts w:ascii="Arial" w:hAnsi="Arial" w:eastAsia="Arial" w:cs="Arial"/>
          <w:b w:val="false"/>
          <w:b w:val="false"/>
          <w:sz w:val="22"/>
          <w:szCs w:val="22"/>
        </w:rPr>
      </w:pPr>
      <w:r>
        <w:rPr>
          <w:rFonts w:eastAsia="Arial" w:cs="Arial" w:ascii="Arial" w:hAnsi="Arial"/>
          <w:b w:val="false"/>
          <w:color w:val="000000"/>
          <w:sz w:val="22"/>
          <w:szCs w:val="22"/>
        </w:rPr>
        <w:t xml:space="preserve">Bids submitted after the Deadline for Bid Submission shall be rejected </w:t>
      </w:r>
    </w:p>
    <w:p>
      <w:pPr>
        <w:pStyle w:val="Normal"/>
        <w:rPr>
          <w:rFonts w:ascii="Arial" w:hAnsi="Arial" w:eastAsia="Arial" w:cs="Arial"/>
          <w:smallCaps/>
          <w:color w:val="000000"/>
          <w:sz w:val="22"/>
          <w:szCs w:val="22"/>
        </w:rPr>
      </w:pPr>
      <w:r>
        <w:rPr>
          <w:rFonts w:eastAsia="Arial" w:cs="Arial"/>
          <w:smallCaps/>
          <w:color w:val="000000"/>
          <w:sz w:val="22"/>
          <w:szCs w:val="22"/>
        </w:rPr>
      </w:r>
    </w:p>
    <w:p>
      <w:pPr>
        <w:pStyle w:val="Normal"/>
        <w:numPr>
          <w:ilvl w:val="0"/>
          <w:numId w:val="8"/>
        </w:numPr>
        <w:pBdr>
          <w:bottom w:val="single" w:sz="6" w:space="1" w:color="000000"/>
        </w:pBdr>
        <w:spacing w:before="0" w:after="0"/>
        <w:ind w:left="720" w:hanging="720"/>
        <w:jc w:val="both"/>
        <w:rPr>
          <w:b/>
          <w:b/>
          <w:smallCaps/>
          <w:color w:val="000000"/>
        </w:rPr>
      </w:pPr>
      <w:r>
        <w:rPr>
          <w:b/>
          <w:smallCaps/>
          <w:color w:val="000000"/>
        </w:rPr>
        <w:t>WITHDRAWAL, SUBSTITUTION, AND MODIFICATION OF BIDS</w:t>
      </w:r>
    </w:p>
    <w:p>
      <w:pPr>
        <w:pStyle w:val="Normal"/>
        <w:spacing w:before="0" w:after="0"/>
        <w:ind w:hanging="360"/>
        <w:jc w:val="both"/>
        <w:rPr>
          <w:color w:val="000000"/>
        </w:rPr>
      </w:pPr>
      <w:r>
        <w:rPr>
          <w:color w:val="000000"/>
        </w:rPr>
      </w:r>
    </w:p>
    <w:p>
      <w:pPr>
        <w:pStyle w:val="Normal"/>
        <w:spacing w:before="0" w:after="0"/>
        <w:jc w:val="both"/>
        <w:rPr>
          <w:rFonts w:ascii="Arial" w:hAnsi="Arial" w:eastAsia="Arial" w:cs="Arial"/>
          <w:smallCaps/>
          <w:color w:val="000000"/>
          <w:sz w:val="22"/>
          <w:szCs w:val="22"/>
        </w:rPr>
      </w:pPr>
      <w:bookmarkStart w:id="31" w:name="_4i7ojhp"/>
      <w:bookmarkEnd w:id="31"/>
      <w:r>
        <w:rPr/>
        <w:t xml:space="preserve">Prior to the Deadline for Bid Submission, a bidder may withdraw, substitute, or modify its bid after it has been submitted by sending a written notice to UNOPS. After the deadline for submission of the bids, however, the bids shall remain valid and open for acceptance by UNOPS for </w:t>
      </w:r>
      <w:r>
        <w:rPr>
          <w:color w:val="000000"/>
        </w:rPr>
        <w:t>the entire</w:t>
      </w:r>
      <w:r>
        <w:rPr>
          <w:color w:val="548DD4"/>
        </w:rPr>
        <w:t xml:space="preserve"> </w:t>
      </w:r>
      <w:r>
        <w:rPr/>
        <w:t>Bid Validity Period, as may be extended.</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rFonts w:ascii="Arial" w:hAnsi="Arial" w:eastAsia="Arial" w:cs="Arial"/>
          <w:smallCaps/>
          <w:color w:val="000000"/>
          <w:sz w:val="22"/>
          <w:szCs w:val="22"/>
        </w:rPr>
      </w:pPr>
      <w:bookmarkStart w:id="32" w:name="_2xcytpi"/>
      <w:bookmarkEnd w:id="32"/>
      <w:r>
        <w:rPr/>
        <w:t xml:space="preserve">Bid for which withdrawal has been requested prior to the deadline for submission of the bids shall be made available for collection by the bidder that submitted it within 15 days of its withdrawal. Otherwise, UNOPS shall have the right to discard such bid unopened without further notice to the Bidder. UNOPS shall not be responsible to return the bid to the Bidder at UNOPS’ costs. </w:t>
      </w:r>
    </w:p>
    <w:p>
      <w:pPr>
        <w:pStyle w:val="Normal"/>
        <w:spacing w:before="0" w:after="0"/>
        <w:jc w:val="both"/>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 xml:space="preserve">BID SUBMISSION </w:t>
      </w:r>
    </w:p>
    <w:p>
      <w:pPr>
        <w:pStyle w:val="Normal"/>
        <w:spacing w:before="0" w:after="0"/>
        <w:ind w:hanging="360"/>
        <w:jc w:val="both"/>
        <w:rPr>
          <w:color w:val="000000"/>
        </w:rPr>
      </w:pPr>
      <w:r>
        <w:rPr>
          <w:color w:val="000000"/>
        </w:rPr>
      </w:r>
      <w:bookmarkStart w:id="33" w:name="_1ci93xb"/>
      <w:bookmarkStart w:id="34" w:name="_1ci93xb"/>
      <w:bookmarkEnd w:id="34"/>
    </w:p>
    <w:p>
      <w:pPr>
        <w:pStyle w:val="Normal"/>
        <w:spacing w:before="0" w:after="0"/>
        <w:jc w:val="both"/>
        <w:rPr>
          <w:color w:val="000000"/>
        </w:rPr>
      </w:pPr>
      <w:r>
        <w:rPr>
          <w:color w:val="000000"/>
        </w:rPr>
        <w:t xml:space="preserve">All bids shall be submitted to UNOPS in accordance with the requirements set out in this ITB, including the Bid Particulars set out in Section I. </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Bids that are not submitted in accordance with the provisions set out in this ITB shall be rejected.  </w:t>
      </w:r>
    </w:p>
    <w:p>
      <w:pPr>
        <w:pStyle w:val="Normal"/>
        <w:spacing w:before="0" w:after="0"/>
        <w:ind w:hanging="36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35" w:name="_3whwml4"/>
      <w:bookmarkEnd w:id="35"/>
      <w:r>
        <w:rPr>
          <w:rFonts w:eastAsia="Arial" w:cs="Arial" w:ascii="Arial" w:hAnsi="Arial"/>
          <w:smallCaps/>
          <w:color w:val="000000"/>
          <w:sz w:val="22"/>
          <w:szCs w:val="22"/>
        </w:rPr>
        <w:t>OPENING OF BIDS</w:t>
      </w:r>
    </w:p>
    <w:p>
      <w:pPr>
        <w:pStyle w:val="Heading1"/>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Normal"/>
        <w:spacing w:before="0" w:after="0"/>
        <w:rPr>
          <w:rFonts w:ascii="Arial" w:hAnsi="Arial" w:eastAsia="Arial" w:cs="Arial"/>
          <w:smallCaps/>
          <w:color w:val="000000"/>
          <w:sz w:val="22"/>
          <w:szCs w:val="22"/>
        </w:rPr>
      </w:pPr>
      <w:r>
        <w:rPr/>
        <w:t>Bids will be opened at the time and location, and in accordance with the requirements, set out in the Bid Particulars in Section I.</w:t>
      </w:r>
    </w:p>
    <w:p>
      <w:pPr>
        <w:pStyle w:val="Heading1"/>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1"/>
        <w:keepNext w:val="false"/>
        <w:spacing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Bidders may attend the opening of the bids.  However, they shall not be allowed to attend the evaluation of the bids. </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36" w:name="_2bn6wsx"/>
      <w:bookmarkEnd w:id="36"/>
      <w:r>
        <w:rPr>
          <w:rFonts w:eastAsia="Arial" w:cs="Arial" w:ascii="Arial" w:hAnsi="Arial"/>
          <w:smallCaps/>
          <w:color w:val="000000"/>
          <w:sz w:val="22"/>
          <w:szCs w:val="22"/>
        </w:rPr>
        <w:t>EVALUATION METHOD AND CRITERIA</w:t>
      </w:r>
    </w:p>
    <w:p>
      <w:pPr>
        <w:pStyle w:val="Normal"/>
        <w:spacing w:before="0" w:after="0"/>
        <w:jc w:val="both"/>
        <w:rPr>
          <w:color w:val="000000"/>
        </w:rPr>
      </w:pPr>
      <w:r>
        <w:rPr>
          <w:color w:val="000000"/>
        </w:rPr>
      </w:r>
    </w:p>
    <w:p>
      <w:pPr>
        <w:pStyle w:val="Normal"/>
        <w:spacing w:before="0" w:after="0"/>
        <w:jc w:val="both"/>
        <w:rPr>
          <w:color w:val="000000"/>
        </w:rPr>
      </w:pPr>
      <w:r>
        <w:rPr>
          <w:color w:val="000000"/>
        </w:rPr>
        <w:t>UNOPS shall evaluate bids and select a preferred bidder pursuant to Section III of this ITB.</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37" w:name="_qsh70q"/>
      <w:bookmarkEnd w:id="37"/>
      <w:r>
        <w:rPr>
          <w:rFonts w:eastAsia="Arial" w:cs="Arial" w:ascii="Arial" w:hAnsi="Arial"/>
          <w:smallCaps/>
          <w:color w:val="000000"/>
          <w:sz w:val="22"/>
          <w:szCs w:val="22"/>
        </w:rPr>
        <w:t>OTHER UNOPS RIGHTS</w:t>
      </w:r>
    </w:p>
    <w:p>
      <w:pPr>
        <w:pStyle w:val="Normal"/>
        <w:spacing w:before="0" w:after="0"/>
        <w:ind w:hanging="360"/>
        <w:jc w:val="both"/>
        <w:rPr>
          <w:color w:val="000000"/>
        </w:rPr>
      </w:pPr>
      <w:r>
        <w:rPr>
          <w:color w:val="000000"/>
        </w:rPr>
      </w:r>
    </w:p>
    <w:p>
      <w:pPr>
        <w:pStyle w:val="Normal"/>
        <w:spacing w:before="0" w:after="0"/>
        <w:jc w:val="both"/>
        <w:rPr>
          <w:color w:val="000000"/>
        </w:rPr>
      </w:pPr>
      <w:r>
        <w:rPr>
          <w:color w:val="000000"/>
        </w:rPr>
        <w:t>Subject to Section III of the ITB, UNOPS shall have no obligation to accept any bid, including the bid with the lowest price.</w:t>
      </w:r>
    </w:p>
    <w:p>
      <w:pPr>
        <w:pStyle w:val="Normal"/>
        <w:spacing w:before="0" w:after="0"/>
        <w:jc w:val="both"/>
        <w:rPr>
          <w:color w:val="000000"/>
        </w:rPr>
      </w:pPr>
      <w:r>
        <w:rPr>
          <w:color w:val="000000"/>
        </w:rPr>
      </w:r>
    </w:p>
    <w:p>
      <w:pPr>
        <w:pStyle w:val="Normal"/>
        <w:spacing w:before="0" w:after="0"/>
        <w:jc w:val="both"/>
        <w:rPr>
          <w:color w:val="000000"/>
        </w:rPr>
      </w:pPr>
      <w:r>
        <w:rPr>
          <w:color w:val="000000"/>
        </w:rPr>
        <w:t>UNOPS may, in its absolute discretion, do all or any of the following:</w:t>
      </w:r>
    </w:p>
    <w:p>
      <w:pPr>
        <w:pStyle w:val="Normal"/>
        <w:spacing w:before="0" w:after="0"/>
        <w:ind w:hanging="360"/>
        <w:jc w:val="both"/>
        <w:rPr>
          <w:color w:val="000000"/>
        </w:rPr>
      </w:pPr>
      <w:r>
        <w:rPr>
          <w:color w:val="000000"/>
        </w:rPr>
      </w:r>
    </w:p>
    <w:p>
      <w:pPr>
        <w:pStyle w:val="Heading4"/>
        <w:keepNext w:val="false"/>
        <w:numPr>
          <w:ilvl w:val="0"/>
          <w:numId w:val="7"/>
        </w:numPr>
        <w:spacing w:lineRule="auto" w:line="240"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require additional information from bidders;</w:t>
      </w:r>
    </w:p>
    <w:p>
      <w:pPr>
        <w:pStyle w:val="Heading4"/>
        <w:keepNext w:val="false"/>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7"/>
        </w:numPr>
        <w:spacing w:lineRule="auto" w:line="240"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change the structure and timing of the ITB;</w:t>
      </w:r>
    </w:p>
    <w:p>
      <w:pPr>
        <w:pStyle w:val="Heading4"/>
        <w:keepNext w:val="false"/>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7"/>
        </w:numPr>
        <w:spacing w:lineRule="auto" w:line="240"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alter, terminate, suspend or defer the bid process or any part of or activity in it;</w:t>
      </w:r>
    </w:p>
    <w:p>
      <w:pPr>
        <w:pStyle w:val="Heading4"/>
        <w:keepNext w:val="false"/>
        <w:tabs>
          <w:tab w:val="left" w:pos="720" w:leader="none"/>
        </w:tabs>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7"/>
        </w:numPr>
        <w:spacing w:lineRule="auto" w:line="240"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consider or accept or reject any bid which is non-conforming;</w:t>
      </w:r>
    </w:p>
    <w:p>
      <w:pPr>
        <w:pStyle w:val="Heading4"/>
        <w:keepNext w:val="false"/>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7"/>
        </w:numPr>
        <w:spacing w:lineRule="auto" w:line="240"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request, attend or conduct any site inspections or clarification meetings;</w:t>
      </w:r>
    </w:p>
    <w:p>
      <w:pPr>
        <w:pStyle w:val="Heading4"/>
        <w:keepNext w:val="false"/>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7"/>
        </w:numPr>
        <w:spacing w:lineRule="auto" w:line="240"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request, attend or observe any product, plant, equipment or other demonstration, trial or test, provided UNOPS acts reasonably in so doing;</w:t>
      </w:r>
    </w:p>
    <w:p>
      <w:pPr>
        <w:pStyle w:val="Heading4"/>
        <w:keepNext w:val="false"/>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7"/>
        </w:numPr>
        <w:spacing w:lineRule="auto" w:line="240" w:before="0" w:after="0"/>
        <w:ind w:left="1440" w:hanging="72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abandon, cancel or otherwise not proceed with the bid process at any time prior to the award of a contract, without any liability toward the bidders and without providing any reason or notice to bidders.</w:t>
      </w:r>
    </w:p>
    <w:p>
      <w:pPr>
        <w:pStyle w:val="Normal"/>
        <w:rPr>
          <w:b/>
          <w:b/>
        </w:rPr>
      </w:pPr>
      <w:r>
        <w:rPr>
          <w:b/>
        </w:rPr>
      </w:r>
    </w:p>
    <w:p>
      <w:pPr>
        <w:pStyle w:val="Heading1"/>
        <w:numPr>
          <w:ilvl w:val="0"/>
          <w:numId w:val="8"/>
        </w:numPr>
        <w:pBdr>
          <w:bottom w:val="single" w:sz="6" w:space="0" w:color="000000"/>
        </w:pBdr>
        <w:tabs>
          <w:tab w:val="clear" w:pos="720"/>
          <w:tab w:val="left" w:pos="0" w:leader="none"/>
        </w:tabs>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COLLECTION OF REJECTED OR UNSUCCESSFUL BID</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rPr>
          <w:rFonts w:ascii="Arial" w:hAnsi="Arial" w:eastAsia="Arial" w:cs="Arial"/>
          <w:smallCaps/>
          <w:color w:val="000000"/>
          <w:sz w:val="22"/>
          <w:szCs w:val="22"/>
        </w:rPr>
      </w:pPr>
      <w:r>
        <w:rPr/>
        <w:t>UNOPS shall not return any rejected or unsuccessful bids to the bidders, except for late bids, which will be available for collection by the bidders within fifteen days of the rejection.</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38" w:name="_3as4poj"/>
      <w:bookmarkEnd w:id="38"/>
      <w:r>
        <w:rPr>
          <w:rFonts w:eastAsia="Arial" w:cs="Arial" w:ascii="Arial" w:hAnsi="Arial"/>
          <w:smallCaps/>
          <w:color w:val="000000"/>
          <w:sz w:val="22"/>
          <w:szCs w:val="22"/>
        </w:rPr>
        <w:t>CONFIDENTIALITY</w:t>
      </w:r>
    </w:p>
    <w:p>
      <w:pPr>
        <w:pStyle w:val="Heading4"/>
        <w:keepNext w:val="false"/>
        <w:spacing w:lineRule="auto" w:line="240"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spacing w:lineRule="auto" w:line="240"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All information and documents provided to the bidders by UNOPS shall be treated as confidential by the bidders and shall: </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4"/>
        <w:keepNext w:val="false"/>
        <w:numPr>
          <w:ilvl w:val="0"/>
          <w:numId w:val="22"/>
        </w:numPr>
        <w:spacing w:lineRule="auto" w:line="240"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remain the property of UNOPS;</w:t>
      </w:r>
    </w:p>
    <w:p>
      <w:pPr>
        <w:pStyle w:val="Heading4"/>
        <w:keepNext w:val="false"/>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22"/>
        </w:numPr>
        <w:spacing w:lineRule="auto" w:line="240"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 xml:space="preserve">not be used for any purpose other than the purpose of preparing a bid; and </w:t>
      </w:r>
    </w:p>
    <w:p>
      <w:pPr>
        <w:pStyle w:val="Heading4"/>
        <w:keepNext w:val="false"/>
        <w:spacing w:lineRule="auto" w:line="240" w:before="0" w:after="0"/>
        <w:ind w:left="1440" w:hanging="0"/>
        <w:jc w:val="both"/>
        <w:rPr>
          <w:rFonts w:ascii="Arial" w:hAnsi="Arial" w:eastAsia="Arial" w:cs="Arial"/>
          <w:b w:val="false"/>
          <w:b w:val="false"/>
          <w:color w:val="000000"/>
          <w:sz w:val="22"/>
          <w:szCs w:val="22"/>
        </w:rPr>
      </w:pPr>
      <w:r>
        <w:rPr>
          <w:rFonts w:eastAsia="Arial" w:cs="Arial" w:ascii="Arial" w:hAnsi="Arial"/>
          <w:b w:val="false"/>
          <w:color w:val="000000"/>
          <w:sz w:val="22"/>
          <w:szCs w:val="22"/>
        </w:rPr>
      </w:r>
    </w:p>
    <w:p>
      <w:pPr>
        <w:pStyle w:val="Heading4"/>
        <w:keepNext w:val="false"/>
        <w:numPr>
          <w:ilvl w:val="0"/>
          <w:numId w:val="22"/>
        </w:numPr>
        <w:spacing w:lineRule="auto" w:line="240" w:before="0" w:after="0"/>
        <w:jc w:val="both"/>
        <w:rPr>
          <w:rFonts w:ascii="Arial" w:hAnsi="Arial" w:eastAsia="Arial" w:cs="Arial"/>
          <w:b w:val="false"/>
          <w:b w:val="false"/>
          <w:color w:val="000000"/>
          <w:sz w:val="22"/>
          <w:szCs w:val="22"/>
        </w:rPr>
      </w:pPr>
      <w:r>
        <w:rPr>
          <w:rFonts w:eastAsia="Arial" w:cs="Arial" w:ascii="Arial" w:hAnsi="Arial"/>
          <w:b w:val="false"/>
          <w:color w:val="000000"/>
          <w:sz w:val="22"/>
          <w:szCs w:val="22"/>
        </w:rPr>
        <w:t>be immediately returned to UNOPS in the event the bidder declines to respond to this ITB, or, in the event of a rejected or an unsuccessful bid, within fifteen days of being notified by UNOPS that its bid was rejected or unsuccessful.</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color w:val="000000"/>
        </w:rPr>
      </w:pPr>
      <w:r>
        <w:rPr>
          <w:color w:val="000000"/>
        </w:rPr>
        <w:t>All information and documents provided to the bidders by UNOPS shall not be disclosed to any third party, except:</w:t>
      </w:r>
    </w:p>
    <w:p>
      <w:pPr>
        <w:pStyle w:val="Normal"/>
        <w:spacing w:before="0" w:after="0"/>
        <w:ind w:hanging="360"/>
        <w:jc w:val="both"/>
        <w:rPr>
          <w:color w:val="000000"/>
        </w:rPr>
      </w:pPr>
      <w:r>
        <w:rPr>
          <w:color w:val="000000"/>
        </w:rPr>
      </w:r>
    </w:p>
    <w:p>
      <w:pPr>
        <w:pStyle w:val="Normal"/>
        <w:numPr>
          <w:ilvl w:val="0"/>
          <w:numId w:val="9"/>
        </w:numPr>
        <w:spacing w:before="0" w:after="0"/>
        <w:ind w:left="1440" w:hanging="720"/>
        <w:jc w:val="both"/>
        <w:rPr>
          <w:color w:val="000000"/>
        </w:rPr>
      </w:pPr>
      <w:r>
        <w:rPr>
          <w:color w:val="000000"/>
        </w:rPr>
        <w:t>with the prior written consent of UNOPS;</w:t>
      </w:r>
    </w:p>
    <w:p>
      <w:pPr>
        <w:pStyle w:val="Normal"/>
        <w:spacing w:before="0" w:after="0"/>
        <w:ind w:left="1440" w:hanging="360"/>
        <w:jc w:val="both"/>
        <w:rPr>
          <w:color w:val="000000"/>
        </w:rPr>
      </w:pPr>
      <w:r>
        <w:rPr>
          <w:color w:val="000000"/>
        </w:rPr>
      </w:r>
    </w:p>
    <w:p>
      <w:pPr>
        <w:pStyle w:val="Normal"/>
        <w:numPr>
          <w:ilvl w:val="0"/>
          <w:numId w:val="9"/>
        </w:numPr>
        <w:spacing w:before="0" w:after="0"/>
        <w:ind w:left="1440" w:hanging="720"/>
        <w:jc w:val="both"/>
        <w:rPr>
          <w:color w:val="000000"/>
        </w:rPr>
      </w:pPr>
      <w:r>
        <w:rPr>
          <w:color w:val="000000"/>
        </w:rPr>
        <w:t>where the third party is assisting a bidder in preparing the bid, provided the bidder has previously ensured that party's adherence to this duty of confidentiality;</w:t>
      </w:r>
    </w:p>
    <w:p>
      <w:pPr>
        <w:pStyle w:val="Normal"/>
        <w:spacing w:before="0" w:after="0"/>
        <w:ind w:left="1440" w:hanging="360"/>
        <w:jc w:val="both"/>
        <w:rPr>
          <w:color w:val="000000"/>
        </w:rPr>
      </w:pPr>
      <w:r>
        <w:rPr>
          <w:color w:val="000000"/>
        </w:rPr>
      </w:r>
    </w:p>
    <w:p>
      <w:pPr>
        <w:pStyle w:val="Normal"/>
        <w:numPr>
          <w:ilvl w:val="0"/>
          <w:numId w:val="9"/>
        </w:numPr>
        <w:spacing w:before="0" w:after="0"/>
        <w:ind w:left="1440" w:hanging="720"/>
        <w:jc w:val="both"/>
        <w:rPr>
          <w:color w:val="000000"/>
        </w:rPr>
      </w:pPr>
      <w:r>
        <w:rPr>
          <w:color w:val="000000"/>
        </w:rPr>
        <w:t>if the information or documents is/are at the time of this ITB lawfully in the possession of the bidder through a party other than UNOPS;</w:t>
      </w:r>
    </w:p>
    <w:p>
      <w:pPr>
        <w:pStyle w:val="Normal"/>
        <w:spacing w:before="0" w:after="0"/>
        <w:ind w:left="1440" w:hanging="360"/>
        <w:jc w:val="both"/>
        <w:rPr>
          <w:color w:val="000000"/>
        </w:rPr>
      </w:pPr>
      <w:r>
        <w:rPr>
          <w:color w:val="000000"/>
        </w:rPr>
      </w:r>
    </w:p>
    <w:p>
      <w:pPr>
        <w:pStyle w:val="Normal"/>
        <w:numPr>
          <w:ilvl w:val="0"/>
          <w:numId w:val="9"/>
        </w:numPr>
        <w:spacing w:before="0" w:after="0"/>
        <w:ind w:left="1440" w:hanging="720"/>
        <w:jc w:val="both"/>
        <w:rPr>
          <w:color w:val="000000"/>
        </w:rPr>
      </w:pPr>
      <w:r>
        <w:rPr>
          <w:color w:val="000000"/>
        </w:rPr>
        <w:t>if required by law, and provided that the bidder has previously informed UNOPS in writing of its obligation to disclose the information or documents; or</w:t>
      </w:r>
    </w:p>
    <w:p>
      <w:pPr>
        <w:pStyle w:val="Normal"/>
        <w:spacing w:before="0" w:after="0"/>
        <w:ind w:left="1440" w:hanging="360"/>
        <w:jc w:val="both"/>
        <w:rPr>
          <w:color w:val="000000"/>
        </w:rPr>
      </w:pPr>
      <w:r>
        <w:rPr>
          <w:color w:val="000000"/>
        </w:rPr>
      </w:r>
    </w:p>
    <w:p>
      <w:pPr>
        <w:pStyle w:val="Normal"/>
        <w:numPr>
          <w:ilvl w:val="0"/>
          <w:numId w:val="9"/>
        </w:numPr>
        <w:spacing w:before="0" w:after="0"/>
        <w:ind w:left="1440" w:hanging="720"/>
        <w:jc w:val="both"/>
        <w:rPr>
          <w:color w:val="000000"/>
        </w:rPr>
      </w:pPr>
      <w:r>
        <w:rPr>
          <w:color w:val="000000"/>
        </w:rPr>
        <w:t>if the information is generally and publicly available other than as a result of breach of confidence by the person receiving the information.</w:t>
      </w:r>
    </w:p>
    <w:p>
      <w:pPr>
        <w:pStyle w:val="Normal"/>
        <w:spacing w:before="0" w:after="0"/>
        <w:ind w:hanging="36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39" w:name="_1pxezwc"/>
      <w:bookmarkEnd w:id="39"/>
      <w:r>
        <w:rPr>
          <w:rFonts w:eastAsia="Arial" w:cs="Arial" w:ascii="Arial" w:hAnsi="Arial"/>
          <w:smallCaps/>
          <w:color w:val="000000"/>
          <w:sz w:val="22"/>
          <w:szCs w:val="22"/>
        </w:rPr>
        <w:t>ETHICS AND CORRUPT PRACTICES</w:t>
      </w:r>
    </w:p>
    <w:p>
      <w:pPr>
        <w:pStyle w:val="Normal"/>
        <w:spacing w:before="0" w:after="0"/>
        <w:jc w:val="both"/>
        <w:rPr>
          <w:color w:val="000000"/>
        </w:rPr>
      </w:pPr>
      <w:r>
        <w:rPr>
          <w:color w:val="000000"/>
        </w:rPr>
      </w:r>
      <w:bookmarkStart w:id="40" w:name="_49x2ik5"/>
      <w:bookmarkStart w:id="41" w:name="_49x2ik5"/>
      <w:bookmarkEnd w:id="41"/>
    </w:p>
    <w:p>
      <w:pPr>
        <w:pStyle w:val="Normal"/>
        <w:spacing w:before="0" w:after="0"/>
        <w:jc w:val="both"/>
        <w:rPr>
          <w:color w:val="000000"/>
        </w:rPr>
      </w:pPr>
      <w:r>
        <w:rPr>
          <w:color w:val="000000"/>
        </w:rPr>
        <w:t xml:space="preserve">UNOPS requires that all bidders observe the highest standard of ethics during the entire bid process, as well as the duration of any contract that may be awarded as a result of this bid process. Therefore, all bidders shall represent and warrant that they: </w:t>
      </w:r>
    </w:p>
    <w:p>
      <w:pPr>
        <w:pStyle w:val="Normal"/>
        <w:spacing w:before="0" w:after="0"/>
        <w:jc w:val="both"/>
        <w:rPr>
          <w:color w:val="000000"/>
        </w:rPr>
      </w:pPr>
      <w:r>
        <w:rPr>
          <w:color w:val="000000"/>
        </w:rPr>
      </w:r>
    </w:p>
    <w:p>
      <w:pPr>
        <w:pStyle w:val="Normal"/>
        <w:numPr>
          <w:ilvl w:val="0"/>
          <w:numId w:val="11"/>
        </w:numPr>
        <w:spacing w:before="0" w:after="0"/>
        <w:ind w:left="1429" w:hanging="709"/>
        <w:jc w:val="both"/>
        <w:rPr>
          <w:color w:val="000000"/>
        </w:rPr>
      </w:pPr>
      <w:r>
        <w:rPr>
          <w:color w:val="000000"/>
        </w:rPr>
        <w:t>have not unduly obtained, or attempted to unduly obtain, any confidential information in connection with the bid process and any contract that may be awarded a result of this bid process;</w:t>
      </w:r>
    </w:p>
    <w:p>
      <w:pPr>
        <w:pStyle w:val="Normal"/>
        <w:spacing w:before="0" w:after="0"/>
        <w:ind w:left="1429" w:hanging="720"/>
        <w:jc w:val="both"/>
        <w:rPr>
          <w:color w:val="000000"/>
        </w:rPr>
      </w:pPr>
      <w:r>
        <w:rPr>
          <w:color w:val="000000"/>
        </w:rPr>
      </w:r>
    </w:p>
    <w:p>
      <w:pPr>
        <w:pStyle w:val="Normal"/>
        <w:numPr>
          <w:ilvl w:val="0"/>
          <w:numId w:val="11"/>
        </w:numPr>
        <w:spacing w:before="0" w:after="0"/>
        <w:ind w:left="1440" w:hanging="720"/>
        <w:jc w:val="both"/>
        <w:rPr>
          <w:color w:val="000000"/>
        </w:rPr>
      </w:pPr>
      <w:r>
        <w:rPr>
          <w:color w:val="000000"/>
        </w:rPr>
        <w:t>have no conflict of interest that would prevent them from entering into a contract with UNOPS, and shall have no interest in other bidders or parties involved in this bid process or in the project underlying this bid process;</w:t>
      </w:r>
    </w:p>
    <w:p>
      <w:pPr>
        <w:pStyle w:val="Normal"/>
        <w:spacing w:before="0" w:after="0"/>
        <w:ind w:left="1440" w:hanging="720"/>
        <w:jc w:val="both"/>
        <w:rPr>
          <w:color w:val="000000"/>
        </w:rPr>
      </w:pPr>
      <w:r>
        <w:rPr>
          <w:color w:val="000000"/>
        </w:rPr>
      </w:r>
    </w:p>
    <w:p>
      <w:pPr>
        <w:pStyle w:val="Normal"/>
        <w:numPr>
          <w:ilvl w:val="0"/>
          <w:numId w:val="11"/>
        </w:numPr>
        <w:spacing w:before="0" w:after="0"/>
        <w:ind w:left="1440" w:hanging="720"/>
        <w:jc w:val="both"/>
        <w:rPr>
          <w:color w:val="000000"/>
        </w:rPr>
      </w:pPr>
      <w:r>
        <w:rPr>
          <w:color w:val="000000"/>
        </w:rPr>
        <w:t>have not engaged, or attempted to engage, in any Corrupt Practices in connection with this bid process or the contract that may be awarded as a result of this bid process. For the purposes of this provision, Corrupt Practices shall mean any of the following:</w:t>
      </w:r>
    </w:p>
    <w:p>
      <w:pPr>
        <w:pStyle w:val="Normal"/>
        <w:spacing w:before="100" w:after="0"/>
        <w:rPr>
          <w:color w:val="000000"/>
        </w:rPr>
      </w:pPr>
      <w:r>
        <w:rPr>
          <w:color w:val="000000"/>
        </w:rPr>
      </w:r>
    </w:p>
    <w:p>
      <w:pPr>
        <w:pStyle w:val="Normal"/>
        <w:numPr>
          <w:ilvl w:val="0"/>
          <w:numId w:val="13"/>
        </w:numPr>
        <w:spacing w:before="0" w:after="0"/>
        <w:jc w:val="both"/>
        <w:rPr>
          <w:color w:val="000000"/>
        </w:rPr>
      </w:pPr>
      <w:r>
        <w:rPr>
          <w:color w:val="000000"/>
        </w:rPr>
        <w:t xml:space="preserve">bribery: the act of unduly offering, giving, receiving or soliciting anything of value to influence the process of procuring works, or executing contracts; </w:t>
      </w:r>
    </w:p>
    <w:p>
      <w:pPr>
        <w:pStyle w:val="Normal"/>
        <w:spacing w:before="0" w:after="0"/>
        <w:ind w:left="1800" w:hanging="720"/>
        <w:jc w:val="both"/>
        <w:rPr>
          <w:color w:val="000000"/>
        </w:rPr>
      </w:pPr>
      <w:r>
        <w:rPr>
          <w:color w:val="000000"/>
        </w:rPr>
      </w:r>
    </w:p>
    <w:p>
      <w:pPr>
        <w:pStyle w:val="Normal"/>
        <w:numPr>
          <w:ilvl w:val="0"/>
          <w:numId w:val="13"/>
        </w:numPr>
        <w:spacing w:before="0" w:after="0"/>
        <w:jc w:val="both"/>
        <w:rPr>
          <w:color w:val="000000"/>
        </w:rPr>
      </w:pPr>
      <w:r>
        <w:rPr>
          <w:color w:val="000000"/>
        </w:rPr>
        <w:t>extortion or coercion: the act of attempting to influence the process of procuring works, or executing contracts by means of threat of injury to person, property or reputation;</w:t>
      </w:r>
    </w:p>
    <w:p>
      <w:pPr>
        <w:pStyle w:val="Normal"/>
        <w:spacing w:before="0" w:after="0"/>
        <w:ind w:left="1800" w:hanging="720"/>
        <w:jc w:val="both"/>
        <w:rPr>
          <w:color w:val="000000"/>
        </w:rPr>
      </w:pPr>
      <w:r>
        <w:rPr>
          <w:color w:val="000000"/>
        </w:rPr>
      </w:r>
    </w:p>
    <w:p>
      <w:pPr>
        <w:pStyle w:val="Normal"/>
        <w:numPr>
          <w:ilvl w:val="0"/>
          <w:numId w:val="13"/>
        </w:numPr>
        <w:spacing w:before="0" w:after="0"/>
        <w:jc w:val="both"/>
        <w:rPr>
          <w:color w:val="000000"/>
        </w:rPr>
      </w:pPr>
      <w:r>
        <w:rPr>
          <w:color w:val="000000"/>
        </w:rPr>
        <w:t>fraud: the misrepresentation of information or facts for the purpose of influencing the process of procuring works, or executing the contracts, to the detriment of UNOPS or other participants; or</w:t>
      </w:r>
    </w:p>
    <w:p>
      <w:pPr>
        <w:pStyle w:val="Normal"/>
        <w:spacing w:before="0" w:after="0"/>
        <w:ind w:left="1800" w:hanging="720"/>
        <w:jc w:val="both"/>
        <w:rPr>
          <w:color w:val="000000"/>
        </w:rPr>
      </w:pPr>
      <w:r>
        <w:rPr>
          <w:color w:val="000000"/>
        </w:rPr>
      </w:r>
    </w:p>
    <w:p>
      <w:pPr>
        <w:pStyle w:val="Normal"/>
        <w:numPr>
          <w:ilvl w:val="0"/>
          <w:numId w:val="13"/>
        </w:numPr>
        <w:spacing w:before="0" w:after="0"/>
        <w:jc w:val="both"/>
        <w:rPr>
          <w:color w:val="000000"/>
        </w:rPr>
      </w:pPr>
      <w:r>
        <w:rPr>
          <w:color w:val="000000"/>
        </w:rPr>
        <w:t>collusion: the agreement between bidders designed to result in bids at artificial prices that are not competitive.</w:t>
      </w:r>
    </w:p>
    <w:p>
      <w:pPr>
        <w:pStyle w:val="Normal"/>
        <w:spacing w:before="0" w:after="0"/>
        <w:ind w:left="1440" w:hanging="720"/>
        <w:jc w:val="both"/>
        <w:rPr>
          <w:color w:val="000000"/>
        </w:rPr>
      </w:pPr>
      <w:r>
        <w:rPr>
          <w:color w:val="000000"/>
        </w:rPr>
      </w:r>
    </w:p>
    <w:p>
      <w:pPr>
        <w:pStyle w:val="Normal"/>
        <w:numPr>
          <w:ilvl w:val="0"/>
          <w:numId w:val="11"/>
        </w:numPr>
        <w:spacing w:before="0" w:after="0"/>
        <w:ind w:left="1440" w:hanging="720"/>
        <w:jc w:val="both"/>
        <w:rPr>
          <w:color w:val="000000"/>
        </w:rPr>
      </w:pPr>
      <w:r>
        <w:rPr>
          <w:color w:val="000000"/>
        </w:rPr>
        <w:t xml:space="preserve">have not been involved in, either directly or indirectly, nor have they funded, either directly or indirectly, any terrorist activities, notably upon basis of the consolidated list of individuals belonging to or associated with terrorist entities as established and maintained by the United Nations 1267 Committee. </w:t>
      </w:r>
    </w:p>
    <w:p>
      <w:pPr>
        <w:pStyle w:val="Normal"/>
        <w:spacing w:before="0" w:after="0"/>
        <w:jc w:val="both"/>
        <w:rPr>
          <w:color w:val="000000"/>
        </w:rPr>
      </w:pPr>
      <w:r>
        <w:rPr>
          <w:color w:val="000000"/>
        </w:rPr>
      </w:r>
    </w:p>
    <w:p>
      <w:pPr>
        <w:pStyle w:val="Normal"/>
        <w:spacing w:before="0" w:after="0"/>
        <w:jc w:val="both"/>
        <w:rPr>
          <w:color w:val="000000"/>
        </w:rPr>
      </w:pPr>
      <w:r>
        <w:rPr>
          <w:color w:val="000000"/>
        </w:rPr>
        <w:t xml:space="preserve">In the event that a bidder fails to comply with any of the above representations and warranties, UNOPS shall have the right to reject the bid submitted by such bidder, and to terminate any contract that may have been awarded as a result of this bid process immediately upon notice, without any liability for termination charges or any other liability of any kind of UNOPS. In addition, the bidder may be precluded from doing business with UNOPS and any other entity of the United Nations System in the future. </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42" w:name="_2p2csry"/>
      <w:bookmarkEnd w:id="42"/>
      <w:r>
        <w:rPr>
          <w:rFonts w:eastAsia="Arial" w:cs="Arial" w:ascii="Arial" w:hAnsi="Arial"/>
          <w:smallCaps/>
          <w:color w:val="000000"/>
          <w:sz w:val="22"/>
          <w:szCs w:val="22"/>
        </w:rPr>
        <w:t xml:space="preserve">AUDIT </w:t>
      </w:r>
    </w:p>
    <w:p>
      <w:pPr>
        <w:pStyle w:val="Normal"/>
        <w:spacing w:before="0" w:after="0"/>
        <w:jc w:val="both"/>
        <w:rPr>
          <w:color w:val="000000"/>
        </w:rPr>
      </w:pPr>
      <w:r>
        <w:rPr>
          <w:color w:val="000000"/>
        </w:rPr>
      </w:r>
    </w:p>
    <w:p>
      <w:pPr>
        <w:pStyle w:val="Normal"/>
        <w:spacing w:before="0" w:after="0"/>
        <w:jc w:val="both"/>
        <w:rPr>
          <w:color w:val="000000"/>
        </w:rPr>
      </w:pPr>
      <w:r>
        <w:rPr>
          <w:color w:val="000000"/>
        </w:rPr>
        <w:t>Any bidder participating in this bid process shall agree to cooperate with the Office of Internal Oversight Services of the United Nations, UNOPS Internal Audit and Investigations Group as well as with any other investigation units authorized by UNOPS Executive Director and UNOPS Ethics Officer to investigate any allegation of misconduct, and in particular any allegation of a breach of Article 28 above, in connection with this bid process or any contract that may be awarded as a result of this bid process.</w:t>
      </w:r>
    </w:p>
    <w:p>
      <w:pPr>
        <w:pStyle w:val="Normal"/>
        <w:spacing w:before="0" w:after="0"/>
        <w:jc w:val="both"/>
        <w:rPr>
          <w:color w:val="000000"/>
        </w:rPr>
      </w:pPr>
      <w:r>
        <w:rPr>
          <w:color w:val="000000"/>
        </w:rPr>
      </w:r>
    </w:p>
    <w:p>
      <w:pPr>
        <w:pStyle w:val="Normal"/>
        <w:spacing w:before="0" w:after="0"/>
        <w:jc w:val="both"/>
        <w:rPr>
          <w:color w:val="000000"/>
        </w:rPr>
      </w:pPr>
      <w:r>
        <w:rPr>
          <w:color w:val="000000"/>
        </w:rPr>
        <w:t>In cooperating with UNOPS, the bidders shall give access to UNOPS, upon written request, to all employees, representatives, agents and assignees, as well as to all documents, records and other elements of the bidder that may be required to conduct such investigation.</w:t>
      </w:r>
    </w:p>
    <w:p>
      <w:pPr>
        <w:pStyle w:val="Normal"/>
        <w:spacing w:before="0" w:after="0"/>
        <w:jc w:val="both"/>
        <w:rPr>
          <w:color w:val="000000"/>
        </w:rPr>
      </w:pPr>
      <w:r>
        <w:rPr>
          <w:color w:val="000000"/>
        </w:rPr>
        <w:t xml:space="preserve">The failure of a bidder to comply with any of the above representations and warranties shall give UNOPS the right to disqualify the bid submitted by such bidder, and to terminate any contract that may have been awarded as a result of this bid process immediately upon notice, without any liability for termination charges or any other liability of any kind of UNOPS. In addition, the bidder may be precluded from doing business with UNOPS and any other entity of the United Nations System in the future. </w:t>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bookmarkStart w:id="43" w:name="_147n2zr"/>
      <w:bookmarkEnd w:id="43"/>
      <w:r>
        <w:rPr>
          <w:rFonts w:eastAsia="Arial" w:cs="Arial" w:ascii="Arial" w:hAnsi="Arial"/>
          <w:smallCaps/>
          <w:color w:val="000000"/>
          <w:sz w:val="22"/>
          <w:szCs w:val="22"/>
        </w:rPr>
        <w:t>BID PROTEST</w:t>
      </w:r>
    </w:p>
    <w:p>
      <w:pPr>
        <w:pStyle w:val="Normal"/>
        <w:spacing w:before="0" w:after="0"/>
        <w:jc w:val="both"/>
        <w:rPr>
          <w:color w:val="000000"/>
        </w:rPr>
      </w:pPr>
      <w:r>
        <w:rPr>
          <w:color w:val="000000"/>
        </w:rPr>
      </w:r>
    </w:p>
    <w:p>
      <w:pPr>
        <w:sectPr>
          <w:headerReference w:type="default" r:id="rId17"/>
          <w:footerReference w:type="default" r:id="rId18"/>
          <w:type w:val="nextPage"/>
          <w:pgSz w:w="11906" w:h="16838"/>
          <w:pgMar w:left="1440" w:right="1440" w:header="432" w:top="1440" w:footer="389" w:bottom="1440" w:gutter="0"/>
          <w:pgNumType w:fmt="decimal"/>
          <w:formProt w:val="false"/>
          <w:textDirection w:val="lrTb"/>
          <w:docGrid w:type="default" w:linePitch="100" w:charSpace="4096"/>
        </w:sectPr>
        <w:pStyle w:val="Normal"/>
        <w:spacing w:before="0" w:after="0"/>
        <w:jc w:val="both"/>
        <w:rPr>
          <w:b/>
          <w:b/>
          <w:smallCaps/>
          <w:color w:val="000000"/>
        </w:rPr>
      </w:pPr>
      <w:r>
        <w:rPr>
          <w:color w:val="000000"/>
        </w:rPr>
        <w:t xml:space="preserve">Any bidder that believes to have been unjustly treated in connection with this bid process or any contract that may be awarded as a result of such bid process may submit a complaint to UNOPS’ General Counsel.  More information about bid protests can be found on UNOPS’ website at </w:t>
      </w:r>
      <w:hyperlink r:id="rId16">
        <w:r>
          <w:rPr>
            <w:color w:val="0000FF"/>
            <w:u w:val="single"/>
          </w:rPr>
          <w:t>www.unops.org</w:t>
        </w:r>
      </w:hyperlink>
      <w:r>
        <w:rPr>
          <w:color w:val="000000"/>
        </w:rPr>
        <w:t>.</w:t>
      </w:r>
    </w:p>
    <w:p>
      <w:pPr>
        <w:pStyle w:val="Normal"/>
        <w:spacing w:before="0" w:after="0"/>
        <w:jc w:val="center"/>
        <w:rPr>
          <w:b/>
          <w:b/>
          <w:smallCaps/>
          <w:color w:val="000000"/>
        </w:rPr>
      </w:pPr>
      <w:r>
        <w:rPr>
          <w:b/>
          <w:smallCaps/>
          <w:color w:val="000000"/>
        </w:rPr>
        <w:t>SECTION III</w:t>
      </w:r>
    </w:p>
    <w:p>
      <w:pPr>
        <w:pStyle w:val="Normal"/>
        <w:spacing w:before="0" w:after="0"/>
        <w:jc w:val="center"/>
        <w:rPr>
          <w:b/>
          <w:b/>
          <w:smallCaps/>
          <w:color w:val="000000"/>
        </w:rPr>
      </w:pPr>
      <w:r>
        <w:rPr>
          <w:b/>
          <w:smallCaps/>
          <w:color w:val="000000"/>
        </w:rPr>
        <w:t>EVALUATION METHOD AND CRITERIA</w:t>
      </w:r>
    </w:p>
    <w:p>
      <w:pPr>
        <w:pStyle w:val="Normal"/>
        <w:spacing w:before="0" w:after="0"/>
        <w:rPr>
          <w:b/>
          <w:b/>
          <w:color w:val="000000"/>
        </w:rPr>
      </w:pPr>
      <w:r>
        <w:rPr>
          <w:b/>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EVALUATION METHOD</w:t>
      </w:r>
    </w:p>
    <w:p>
      <w:pPr>
        <w:pStyle w:val="Normal"/>
        <w:spacing w:before="0" w:after="0"/>
        <w:jc w:val="both"/>
        <w:rPr>
          <w:color w:val="000000"/>
        </w:rPr>
      </w:pPr>
      <w:r>
        <w:rPr>
          <w:color w:val="000000"/>
        </w:rPr>
      </w:r>
    </w:p>
    <w:p>
      <w:pPr>
        <w:pStyle w:val="Normal"/>
        <w:spacing w:before="0" w:after="0"/>
        <w:rPr>
          <w:color w:val="000000"/>
        </w:rPr>
      </w:pPr>
      <w:r>
        <w:rPr>
          <w:color w:val="000000"/>
        </w:rPr>
        <w:t>Bid shall be evaluated on the basis of the “lowest priced substantially compliant offer” evaluation method.</w:t>
      </w:r>
    </w:p>
    <w:p>
      <w:pPr>
        <w:pStyle w:val="Normal"/>
        <w:spacing w:before="0" w:after="0"/>
        <w:jc w:val="both"/>
        <w:rPr>
          <w:color w:val="000000"/>
        </w:rPr>
      </w:pPr>
      <w:r>
        <w:rPr>
          <w:color w:val="000000"/>
        </w:rPr>
      </w:r>
    </w:p>
    <w:p>
      <w:pPr>
        <w:pStyle w:val="Normal"/>
        <w:spacing w:before="0" w:after="0"/>
        <w:jc w:val="both"/>
        <w:rPr>
          <w:color w:val="000000"/>
        </w:rPr>
      </w:pPr>
      <w:r>
        <w:rPr>
          <w:color w:val="000000"/>
        </w:rPr>
        <w:t>Firstly, bids shall be evaluated for technical compliance based on:</w:t>
      </w:r>
    </w:p>
    <w:p>
      <w:pPr>
        <w:pStyle w:val="Normal"/>
        <w:spacing w:before="0" w:after="0"/>
        <w:jc w:val="both"/>
        <w:rPr>
          <w:color w:val="000000"/>
        </w:rPr>
      </w:pPr>
      <w:r>
        <w:rPr>
          <w:color w:val="000000"/>
        </w:rPr>
      </w:r>
    </w:p>
    <w:p>
      <w:pPr>
        <w:pStyle w:val="Normal"/>
        <w:numPr>
          <w:ilvl w:val="0"/>
          <w:numId w:val="17"/>
        </w:numPr>
        <w:spacing w:before="0" w:after="0"/>
        <w:jc w:val="both"/>
        <w:rPr>
          <w:color w:val="000000"/>
        </w:rPr>
      </w:pPr>
      <w:r>
        <w:rPr>
          <w:color w:val="000000"/>
        </w:rPr>
        <w:t>technical expertise and experience;</w:t>
      </w:r>
    </w:p>
    <w:p>
      <w:pPr>
        <w:pStyle w:val="Normal"/>
        <w:numPr>
          <w:ilvl w:val="0"/>
          <w:numId w:val="17"/>
        </w:numPr>
        <w:spacing w:before="0" w:after="0"/>
        <w:jc w:val="both"/>
        <w:rPr>
          <w:color w:val="000000"/>
        </w:rPr>
      </w:pPr>
      <w:r>
        <w:rPr>
          <w:color w:val="000000"/>
        </w:rPr>
        <w:t>safety, quality and insurance; and</w:t>
      </w:r>
    </w:p>
    <w:p>
      <w:pPr>
        <w:pStyle w:val="Normal"/>
        <w:numPr>
          <w:ilvl w:val="0"/>
          <w:numId w:val="17"/>
        </w:numPr>
        <w:spacing w:before="0" w:after="0"/>
        <w:jc w:val="both"/>
        <w:rPr>
          <w:color w:val="000000"/>
        </w:rPr>
      </w:pPr>
      <w:r>
        <w:rPr>
          <w:color w:val="000000"/>
        </w:rPr>
        <w:t>capacity, resources and key personnel.</w:t>
      </w:r>
    </w:p>
    <w:p>
      <w:pPr>
        <w:pStyle w:val="Normal"/>
        <w:spacing w:before="0" w:after="0"/>
        <w:ind w:left="720" w:hanging="720"/>
        <w:jc w:val="both"/>
        <w:rPr>
          <w:color w:val="000000"/>
        </w:rPr>
      </w:pPr>
      <w:r>
        <w:rPr>
          <w:color w:val="000000"/>
        </w:rPr>
      </w:r>
    </w:p>
    <w:p>
      <w:pPr>
        <w:pStyle w:val="Normal"/>
        <w:spacing w:before="0" w:after="0"/>
        <w:jc w:val="both"/>
        <w:rPr>
          <w:color w:val="000000"/>
        </w:rPr>
      </w:pPr>
      <w:r>
        <w:rPr>
          <w:color w:val="000000"/>
        </w:rPr>
        <w:t xml:space="preserve">Secondly, bids that are found to be technically compliant shall be evaluated based on price and value for money, analysing all relevant costs, risks and benefits of each bid throughout the whole life cycle of the works and in the context of the project as a whole. </w:t>
      </w:r>
    </w:p>
    <w:p>
      <w:pPr>
        <w:pStyle w:val="Normal"/>
        <w:spacing w:before="0" w:after="0"/>
        <w:jc w:val="both"/>
        <w:rPr>
          <w:color w:val="000000"/>
        </w:rPr>
      </w:pPr>
      <w:r>
        <w:rPr>
          <w:color w:val="000000"/>
        </w:rPr>
      </w:r>
    </w:p>
    <w:p>
      <w:pPr>
        <w:pStyle w:val="Heading3"/>
        <w:numPr>
          <w:ilvl w:val="0"/>
          <w:numId w:val="8"/>
        </w:numPr>
        <w:pBdr>
          <w:bottom w:val="single" w:sz="6" w:space="0"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PRELIMINARY EXAMINATION</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rPr>
          <w:rFonts w:ascii="Arial" w:hAnsi="Arial" w:eastAsia="Arial" w:cs="Arial"/>
          <w:smallCaps/>
          <w:color w:val="000000"/>
          <w:sz w:val="22"/>
          <w:szCs w:val="22"/>
        </w:rPr>
      </w:pPr>
      <w:r>
        <w:rPr/>
        <w:t>Upon opening of the bids, UNOPS shall proceed to a preliminary examination of the bids.  UNOPS may reject any bid during the preliminary examination which does not comply with the requirements set out in this ITB, without further consultation with the bidder.</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rPr>
          <w:rFonts w:ascii="Arial" w:hAnsi="Arial" w:eastAsia="Arial" w:cs="Arial"/>
          <w:smallCaps/>
          <w:color w:val="000000"/>
          <w:sz w:val="22"/>
          <w:szCs w:val="22"/>
        </w:rPr>
      </w:pPr>
      <w:r>
        <w:rPr/>
        <w:t>Bids which are incomplete, frivolous, clearly not competitive or contain material deviations from or reservations to the terms of the Contract, may, in UNOPS absolute discretion, be rejected or excluded from further consideration at any time during the evaluation, including after preliminary examination.  A bidder may not be permitted to correct or withdraw material deviations or reservations in a bid once the bids have been opened.</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Heading3"/>
        <w:numPr>
          <w:ilvl w:val="0"/>
          <w:numId w:val="8"/>
        </w:numPr>
        <w:pBdr>
          <w:bottom w:val="single" w:sz="6" w:space="0"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CLARIFICATION OF BIDS</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rPr>
          <w:rFonts w:ascii="Arial" w:hAnsi="Arial" w:eastAsia="Arial" w:cs="Arial"/>
          <w:smallCaps/>
          <w:color w:val="000000"/>
          <w:sz w:val="22"/>
          <w:szCs w:val="22"/>
        </w:rPr>
      </w:pPr>
      <w:r>
        <w:rPr/>
        <w:t>UNOPS may request clarification or further information in writing from the bidders at any time during the bid process.  The bidders’ responses shall not contain any changes regarding the substance or price of the bid.</w:t>
      </w:r>
    </w:p>
    <w:p>
      <w:pPr>
        <w:pStyle w:val="Normal"/>
        <w:spacing w:before="0" w:after="0"/>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rPr>
          <w:rFonts w:ascii="Arial" w:hAnsi="Arial" w:eastAsia="Arial" w:cs="Arial"/>
          <w:smallCaps/>
          <w:color w:val="000000"/>
          <w:sz w:val="22"/>
          <w:szCs w:val="22"/>
        </w:rPr>
      </w:pPr>
      <w:r>
        <w:rPr/>
        <w:t>UNOPS may use such information in interpreting and evaluating the relevant bid but is under no obligation to take it into account.</w:t>
      </w:r>
    </w:p>
    <w:p>
      <w:pPr>
        <w:pStyle w:val="Normal"/>
        <w:spacing w:before="0" w:after="0"/>
        <w:jc w:val="both"/>
        <w:rPr>
          <w:color w:val="000000"/>
        </w:rPr>
      </w:pPr>
      <w:r>
        <w:rPr>
          <w:color w:val="000000"/>
        </w:rPr>
      </w:r>
    </w:p>
    <w:p>
      <w:pPr>
        <w:pStyle w:val="Normal"/>
        <w:spacing w:before="0" w:after="0"/>
        <w:jc w:val="both"/>
        <w:rPr>
          <w:color w:val="000000"/>
        </w:rPr>
      </w:pPr>
      <w:r>
        <w:rPr>
          <w:color w:val="000000"/>
        </w:rPr>
      </w:r>
    </w:p>
    <w:p>
      <w:pPr>
        <w:pStyle w:val="Heading3"/>
        <w:numPr>
          <w:ilvl w:val="0"/>
          <w:numId w:val="8"/>
        </w:numPr>
        <w:pBdr>
          <w:bottom w:val="single" w:sz="6" w:space="1" w:color="000000"/>
        </w:pBdr>
        <w:spacing w:before="0" w:after="0"/>
        <w:ind w:left="720" w:hanging="720"/>
        <w:jc w:val="both"/>
        <w:rPr>
          <w:rFonts w:ascii="Arial" w:hAnsi="Arial" w:eastAsia="Arial" w:cs="Arial"/>
          <w:smallCaps/>
          <w:color w:val="000000"/>
          <w:sz w:val="22"/>
          <w:szCs w:val="22"/>
        </w:rPr>
      </w:pPr>
      <w:r>
        <w:rPr>
          <w:rFonts w:eastAsia="Arial" w:cs="Arial" w:ascii="Arial" w:hAnsi="Arial"/>
          <w:smallCaps/>
          <w:color w:val="000000"/>
          <w:sz w:val="22"/>
          <w:szCs w:val="22"/>
        </w:rPr>
        <w:t xml:space="preserve">EVALUATION CRITERIA </w:t>
      </w:r>
    </w:p>
    <w:p>
      <w:pPr>
        <w:pStyle w:val="Normal"/>
        <w:spacing w:before="0" w:after="0"/>
        <w:ind w:hanging="720"/>
        <w:jc w:val="both"/>
        <w:rPr>
          <w:color w:val="000000"/>
        </w:rPr>
      </w:pPr>
      <w:r>
        <w:rPr>
          <w:color w:val="000000"/>
        </w:rPr>
      </w:r>
    </w:p>
    <w:p>
      <w:pPr>
        <w:pStyle w:val="Heading2"/>
        <w:ind w:left="-5" w:hanging="0"/>
        <w:rPr>
          <w:b w:val="false"/>
          <w:b w:val="false"/>
          <w:i/>
          <w:i/>
          <w:sz w:val="22"/>
          <w:szCs w:val="22"/>
          <w:u w:val="single"/>
        </w:rPr>
      </w:pPr>
      <w:r>
        <w:rPr>
          <w:rStyle w:val="Emphasis"/>
          <w:sz w:val="22"/>
          <w:szCs w:val="22"/>
          <w:u w:val="single"/>
        </w:rPr>
        <w:t>Bid</w:t>
      </w:r>
      <w:r>
        <w:rPr>
          <w:i/>
          <w:sz w:val="22"/>
          <w:szCs w:val="22"/>
          <w:u w:val="single"/>
        </w:rPr>
        <w:t xml:space="preserve"> Schedule 1</w:t>
      </w:r>
      <w:r>
        <w:rPr>
          <w:b/>
          <w:i/>
          <w:color w:val="000000"/>
          <w:sz w:val="22"/>
          <w:szCs w:val="22"/>
          <w:u w:val="single"/>
        </w:rPr>
        <w:t xml:space="preserve"> – </w:t>
      </w:r>
      <w:r>
        <w:rPr>
          <w:i/>
          <w:sz w:val="22"/>
          <w:szCs w:val="22"/>
          <w:u w:val="single"/>
        </w:rPr>
        <w:t xml:space="preserve">Form of Bid </w:t>
      </w:r>
    </w:p>
    <w:p>
      <w:pPr>
        <w:pStyle w:val="Normal"/>
        <w:spacing w:before="100" w:after="0"/>
        <w:rPr>
          <w:rFonts w:ascii="Arial" w:hAnsi="Arial" w:eastAsia="Arial" w:cs="Arial"/>
          <w:smallCaps/>
          <w:color w:val="000000"/>
          <w:sz w:val="22"/>
          <w:szCs w:val="22"/>
        </w:rPr>
      </w:pPr>
      <w:r>
        <w:rPr>
          <w:i/>
        </w:rPr>
        <w:t>The bidder’s form of bid is correctly filled out and dully signed.</w:t>
      </w:r>
      <w:r>
        <w:rPr/>
        <w:t xml:space="preserve">  </w:t>
      </w:r>
    </w:p>
    <w:p>
      <w:pPr>
        <w:pStyle w:val="Normal"/>
        <w:spacing w:lineRule="auto" w:line="247" w:before="100" w:after="5"/>
        <w:ind w:left="-4" w:hanging="10"/>
        <w:rPr>
          <w:b/>
          <w:b/>
          <w:i/>
          <w:i/>
        </w:rPr>
      </w:pPr>
      <w:r>
        <w:rPr>
          <w:b/>
          <w:i/>
        </w:rPr>
        <w:t xml:space="preserve">Pass / Fail </w:t>
      </w:r>
    </w:p>
    <w:p>
      <w:pPr>
        <w:pStyle w:val="Normal"/>
        <w:spacing w:before="0" w:after="0"/>
        <w:jc w:val="both"/>
        <w:rPr>
          <w:b/>
          <w:b/>
          <w:i/>
          <w:i/>
          <w:color w:val="000000"/>
          <w:highlight w:val="lightGray"/>
          <w:u w:val="single"/>
        </w:rPr>
      </w:pPr>
      <w:r>
        <w:rPr>
          <w:b/>
          <w:i/>
          <w:color w:val="000000"/>
          <w:highlight w:val="lightGray"/>
          <w:u w:val="single"/>
        </w:rPr>
      </w:r>
    </w:p>
    <w:p>
      <w:pPr>
        <w:pStyle w:val="Heading2"/>
        <w:ind w:left="-5" w:hanging="0"/>
        <w:rPr>
          <w:b w:val="false"/>
          <w:b w:val="false"/>
          <w:i/>
          <w:i/>
          <w:sz w:val="22"/>
          <w:szCs w:val="22"/>
          <w:u w:val="single"/>
        </w:rPr>
      </w:pPr>
      <w:r>
        <w:rPr>
          <w:b w:val="false"/>
          <w:i/>
          <w:sz w:val="22"/>
          <w:szCs w:val="22"/>
          <w:u w:val="single"/>
        </w:rPr>
      </w:r>
    </w:p>
    <w:p>
      <w:pPr>
        <w:pStyle w:val="Heading2"/>
        <w:ind w:left="-5" w:hanging="0"/>
        <w:rPr>
          <w:b w:val="false"/>
          <w:b w:val="false"/>
          <w:i/>
          <w:i/>
          <w:sz w:val="22"/>
          <w:szCs w:val="22"/>
          <w:u w:val="single"/>
        </w:rPr>
      </w:pPr>
      <w:r>
        <w:rPr>
          <w:i/>
          <w:sz w:val="22"/>
          <w:szCs w:val="22"/>
          <w:u w:val="single"/>
        </w:rPr>
        <w:t xml:space="preserve">Returnable Bid Schedule </w:t>
      </w:r>
      <w:r>
        <w:rPr>
          <w:i/>
          <w:sz w:val="22"/>
          <w:szCs w:val="22"/>
          <w:u w:val="single"/>
          <w:lang w:val="ru-UA"/>
        </w:rPr>
        <w:t>2</w:t>
      </w:r>
      <w:r>
        <w:rPr>
          <w:b/>
          <w:i/>
          <w:color w:val="000000"/>
          <w:sz w:val="22"/>
          <w:szCs w:val="22"/>
          <w:u w:val="single"/>
          <w:lang w:val="ru-UA"/>
        </w:rPr>
        <w:t xml:space="preserve"> – </w:t>
      </w:r>
      <w:r>
        <w:rPr>
          <w:i/>
          <w:sz w:val="22"/>
          <w:szCs w:val="22"/>
          <w:u w:val="single"/>
        </w:rPr>
        <w:t xml:space="preserve">Bidder Details </w:t>
      </w:r>
    </w:p>
    <w:p>
      <w:pPr>
        <w:pStyle w:val="Normal"/>
        <w:rPr>
          <w:rFonts w:ascii="Arial" w:hAnsi="Arial" w:eastAsia="Arial" w:cs="Arial"/>
          <w:smallCaps/>
          <w:color w:val="000000"/>
          <w:sz w:val="22"/>
          <w:szCs w:val="22"/>
        </w:rPr>
      </w:pPr>
      <w:r>
        <w:rPr>
          <w:rFonts w:eastAsia="Arial" w:cs="Arial"/>
          <w:smallCaps/>
          <w:color w:val="000000"/>
          <w:sz w:val="22"/>
          <w:szCs w:val="22"/>
        </w:rPr>
      </w:r>
    </w:p>
    <w:p>
      <w:pPr>
        <w:pStyle w:val="Normal"/>
        <w:spacing w:before="100" w:after="0"/>
        <w:rPr>
          <w:i/>
          <w:i/>
        </w:rPr>
      </w:pPr>
      <w:r>
        <w:rPr>
          <w:i/>
        </w:rPr>
        <w:t>The bidder’s details are correctly filled out and the Bidder submitted proof of valid registrations under the legal and regulatory requirements of bidder’s country of incorporation, such as:</w:t>
      </w:r>
    </w:p>
    <w:p>
      <w:pPr>
        <w:pStyle w:val="ListParagraph"/>
        <w:numPr>
          <w:ilvl w:val="0"/>
          <w:numId w:val="25"/>
        </w:numPr>
        <w:spacing w:before="0" w:after="0"/>
        <w:ind w:left="1843" w:hanging="425"/>
        <w:rPr>
          <w:rFonts w:ascii="Arial" w:hAnsi="Arial"/>
          <w:i/>
          <w:i/>
        </w:rPr>
      </w:pPr>
      <w:r>
        <w:rPr>
          <w:rFonts w:ascii="Arial" w:hAnsi="Arial"/>
          <w:i/>
        </w:rPr>
        <w:t>Valid registration Certificate(s) or equivalent as applicable with the regulatory / statutory requirements</w:t>
      </w:r>
    </w:p>
    <w:p>
      <w:pPr>
        <w:pStyle w:val="Normal"/>
        <w:spacing w:lineRule="auto" w:line="247" w:before="100" w:after="5"/>
        <w:ind w:left="-4" w:hanging="10"/>
        <w:rPr>
          <w:rFonts w:ascii="Arial" w:hAnsi="Arial" w:eastAsia="Arial" w:cs="Arial"/>
          <w:smallCaps/>
          <w:color w:val="000000"/>
          <w:sz w:val="22"/>
          <w:szCs w:val="22"/>
        </w:rPr>
      </w:pPr>
      <w:r>
        <w:rPr>
          <w:b/>
          <w:i/>
        </w:rPr>
        <w:t xml:space="preserve">In order to "pass" these criteria, a bidder shall submit proof of certificate of valid registration with requested details. </w:t>
      </w:r>
    </w:p>
    <w:p>
      <w:pPr>
        <w:pStyle w:val="Normal"/>
        <w:spacing w:lineRule="auto" w:line="247" w:before="100" w:after="5"/>
        <w:ind w:left="-4" w:hanging="10"/>
        <w:rPr>
          <w:b/>
          <w:b/>
          <w:i/>
          <w:i/>
        </w:rPr>
      </w:pPr>
      <w:r>
        <w:rPr>
          <w:b/>
          <w:i/>
        </w:rPr>
        <w:t xml:space="preserve">Pass / Fail </w:t>
      </w:r>
    </w:p>
    <w:p>
      <w:pPr>
        <w:pStyle w:val="Normal"/>
        <w:spacing w:before="0" w:after="0"/>
        <w:jc w:val="both"/>
        <w:rPr>
          <w:b/>
          <w:b/>
          <w:i/>
          <w:i/>
          <w:color w:val="000000"/>
          <w:highlight w:val="lightGray"/>
          <w:u w:val="single"/>
        </w:rPr>
      </w:pPr>
      <w:r>
        <w:rPr>
          <w:b/>
          <w:i/>
          <w:color w:val="000000"/>
          <w:highlight w:val="lightGray"/>
          <w:u w:val="single"/>
        </w:rPr>
      </w:r>
    </w:p>
    <w:p>
      <w:pPr>
        <w:pStyle w:val="Heading2"/>
        <w:ind w:left="-5" w:hanging="0"/>
        <w:rPr>
          <w:b w:val="false"/>
          <w:b w:val="false"/>
          <w:i/>
          <w:i/>
          <w:sz w:val="22"/>
          <w:szCs w:val="22"/>
          <w:u w:val="single"/>
        </w:rPr>
      </w:pPr>
      <w:r>
        <w:rPr>
          <w:i/>
          <w:sz w:val="22"/>
          <w:szCs w:val="22"/>
          <w:u w:val="single"/>
        </w:rPr>
        <w:t xml:space="preserve">Returnable Bid Schedule </w:t>
      </w:r>
      <w:r>
        <w:rPr>
          <w:i/>
          <w:sz w:val="22"/>
          <w:szCs w:val="22"/>
          <w:u w:val="single"/>
          <w:lang w:val="ru-UA"/>
        </w:rPr>
        <w:t>4</w:t>
      </w:r>
      <w:r>
        <w:rPr>
          <w:b/>
          <w:i/>
          <w:color w:val="000000"/>
          <w:sz w:val="22"/>
          <w:szCs w:val="22"/>
          <w:u w:val="single"/>
          <w:lang w:val="ru-UA"/>
        </w:rPr>
        <w:t xml:space="preserve"> – </w:t>
      </w:r>
      <w:r>
        <w:rPr>
          <w:i/>
          <w:sz w:val="22"/>
          <w:szCs w:val="22"/>
          <w:u w:val="single"/>
        </w:rPr>
        <w:t xml:space="preserve">Preliminary Programme </w:t>
      </w:r>
    </w:p>
    <w:p>
      <w:pPr>
        <w:pStyle w:val="Normal"/>
        <w:spacing w:lineRule="auto" w:line="247" w:before="100" w:after="5"/>
        <w:ind w:left="-5" w:hanging="10"/>
        <w:rPr>
          <w:i/>
          <w:i/>
        </w:rPr>
      </w:pPr>
      <w:r>
        <w:rPr>
          <w:i/>
        </w:rPr>
        <w:t xml:space="preserve">The bidder’s Preliminary program/Work Plan (together with the program narrative) demonstrates the bidder’s capacity to plan and programme the works within timelines that are consistent with the project requirements as stated in the ITB. </w:t>
      </w:r>
    </w:p>
    <w:p>
      <w:pPr>
        <w:pStyle w:val="Normal"/>
        <w:spacing w:before="100" w:after="0"/>
        <w:rPr>
          <w:i/>
          <w:i/>
        </w:rPr>
      </w:pPr>
      <w:r>
        <w:rPr>
          <w:i/>
        </w:rPr>
        <w:t xml:space="preserve">The preliminary program shows all the activities with planned start and end period, resource assignment, mobilization period etc. all fit within the preliminary specified contract period (up to 1,5 months) and contains program narrative (write-up). </w:t>
      </w:r>
    </w:p>
    <w:p>
      <w:pPr>
        <w:pStyle w:val="Normal"/>
        <w:spacing w:lineRule="auto" w:line="247" w:before="100" w:after="5"/>
        <w:ind w:left="-4" w:hanging="10"/>
        <w:rPr>
          <w:rFonts w:ascii="Arial" w:hAnsi="Arial" w:eastAsia="Arial" w:cs="Arial"/>
          <w:smallCaps/>
          <w:color w:val="000000"/>
          <w:sz w:val="22"/>
          <w:szCs w:val="22"/>
        </w:rPr>
      </w:pPr>
      <w:r>
        <w:rPr>
          <w:b/>
          <w:i/>
        </w:rPr>
        <w:t xml:space="preserve">If the Preliminary Program is missing, it shall carry ‘Fail’ marks in the evaluation. </w:t>
      </w:r>
    </w:p>
    <w:p>
      <w:pPr>
        <w:pStyle w:val="Normal"/>
        <w:spacing w:lineRule="auto" w:line="247" w:before="100" w:after="5"/>
        <w:ind w:left="-4" w:hanging="10"/>
        <w:rPr>
          <w:rFonts w:ascii="Arial" w:hAnsi="Arial" w:eastAsia="Arial" w:cs="Arial"/>
          <w:smallCaps/>
          <w:color w:val="000000"/>
          <w:sz w:val="22"/>
          <w:szCs w:val="22"/>
        </w:rPr>
      </w:pPr>
      <w:r>
        <w:rPr>
          <w:b/>
          <w:i/>
        </w:rPr>
        <w:t xml:space="preserve">Pass / Fail </w:t>
      </w:r>
    </w:p>
    <w:p>
      <w:pPr>
        <w:pStyle w:val="Normal"/>
        <w:spacing w:before="0" w:after="0"/>
        <w:jc w:val="both"/>
        <w:rPr>
          <w:b/>
          <w:b/>
          <w:i/>
          <w:i/>
          <w:color w:val="000000"/>
          <w:highlight w:val="lightGray"/>
        </w:rPr>
      </w:pPr>
      <w:r>
        <w:rPr>
          <w:b/>
          <w:i/>
          <w:color w:val="000000"/>
          <w:highlight w:val="lightGray"/>
        </w:rPr>
      </w:r>
    </w:p>
    <w:p>
      <w:pPr>
        <w:pStyle w:val="Normal"/>
        <w:spacing w:before="0" w:after="0"/>
        <w:jc w:val="both"/>
        <w:rPr>
          <w:b/>
          <w:b/>
          <w:i/>
          <w:i/>
          <w:color w:val="000000"/>
          <w:u w:val="single"/>
        </w:rPr>
      </w:pPr>
      <w:r>
        <w:rPr>
          <w:b/>
          <w:i/>
          <w:color w:val="000000"/>
          <w:u w:val="single"/>
        </w:rPr>
      </w:r>
    </w:p>
    <w:p>
      <w:pPr>
        <w:pStyle w:val="Normal"/>
        <w:spacing w:before="0" w:after="0"/>
        <w:jc w:val="both"/>
        <w:rPr>
          <w:b/>
          <w:b/>
          <w:i/>
          <w:i/>
          <w:color w:val="000000"/>
          <w:u w:val="single"/>
        </w:rPr>
      </w:pPr>
      <w:r>
        <w:rPr>
          <w:b/>
          <w:i/>
          <w:color w:val="000000"/>
          <w:u w:val="single"/>
        </w:rPr>
        <w:t>Returnable Bid Schedule 5 – Proposed Project Team</w:t>
      </w:r>
    </w:p>
    <w:p>
      <w:pPr>
        <w:pStyle w:val="Normal"/>
        <w:spacing w:before="0" w:after="0"/>
        <w:jc w:val="both"/>
        <w:rPr>
          <w:b/>
          <w:b/>
          <w:i/>
          <w:i/>
          <w:color w:val="000000"/>
          <w:highlight w:val="lightGray"/>
          <w:u w:val="single"/>
        </w:rPr>
      </w:pPr>
      <w:r>
        <w:rPr>
          <w:b/>
          <w:i/>
          <w:color w:val="000000"/>
          <w:highlight w:val="lightGray"/>
          <w:u w:val="single"/>
        </w:rPr>
      </w:r>
    </w:p>
    <w:p>
      <w:pPr>
        <w:pStyle w:val="Normal"/>
        <w:spacing w:before="0" w:after="0"/>
        <w:jc w:val="both"/>
        <w:rPr>
          <w:i/>
          <w:i/>
        </w:rPr>
      </w:pPr>
      <w:r>
        <w:rPr>
          <w:i/>
        </w:rPr>
        <w:t>The bidder’s project team and organisational structure demonstrate the capacity of the bidder’s core team to execute the works and should include all essential roles filled with people of the required experience.</w:t>
      </w:r>
    </w:p>
    <w:p>
      <w:pPr>
        <w:pStyle w:val="Normal"/>
        <w:spacing w:before="0" w:after="0"/>
        <w:ind w:left="1440" w:hanging="1440"/>
        <w:jc w:val="both"/>
        <w:rPr>
          <w:i/>
          <w:i/>
        </w:rPr>
      </w:pPr>
      <w:r>
        <w:rPr>
          <w:i/>
        </w:rPr>
      </w:r>
    </w:p>
    <w:p>
      <w:pPr>
        <w:pStyle w:val="Normal"/>
        <w:spacing w:before="0" w:after="0"/>
        <w:jc w:val="both"/>
        <w:rPr>
          <w:i/>
          <w:i/>
        </w:rPr>
      </w:pPr>
      <w:r>
        <w:rPr>
          <w:i/>
        </w:rPr>
        <w:t>The minimum requirements for the key personnel is specified in the below table. CV’s shall be used to verify the expertise and experience of the bidder’s personnel and skilled by copy of respective diplomas.</w:t>
      </w:r>
    </w:p>
    <w:p>
      <w:pPr>
        <w:pStyle w:val="Normal"/>
        <w:spacing w:before="0" w:after="0"/>
        <w:ind w:left="1440" w:hanging="0"/>
        <w:jc w:val="both"/>
        <w:rPr>
          <w:rFonts w:ascii="Arial" w:hAnsi="Arial" w:eastAsia="Arial" w:cs="Arial"/>
          <w:smallCaps/>
          <w:color w:val="000000"/>
          <w:sz w:val="22"/>
          <w:szCs w:val="22"/>
        </w:rPr>
      </w:pPr>
      <w:r>
        <w:rPr>
          <w:rFonts w:eastAsia="Arial" w:cs="Arial"/>
          <w:smallCaps/>
          <w:color w:val="000000"/>
          <w:sz w:val="22"/>
          <w:szCs w:val="22"/>
        </w:rPr>
      </w:r>
    </w:p>
    <w:p>
      <w:pPr>
        <w:pStyle w:val="Normal"/>
        <w:spacing w:before="0" w:after="0"/>
        <w:jc w:val="both"/>
        <w:rPr>
          <w:b/>
          <w:b/>
          <w:lang w:val="en-GB"/>
        </w:rPr>
      </w:pPr>
      <w:r>
        <w:rPr>
          <w:b/>
        </w:rPr>
        <w:t xml:space="preserve">It should be noted that the key personnel proposed for the roles of Project Manager, and Field Engineers must remain in these roles for the during of the agreement and cannot be substituted without prior written consent from UNOPS. </w:t>
      </w:r>
      <w:r>
        <w:rPr>
          <w:b/>
          <w:lang w:val="en-GB"/>
        </w:rPr>
        <w:t xml:space="preserve">If any changes in work load of the bidder has place during the evaluation and awarding period, the contractor must propose other personal with higher or equal background. </w:t>
      </w:r>
    </w:p>
    <w:p>
      <w:pPr>
        <w:pStyle w:val="Normal"/>
        <w:spacing w:before="0" w:after="0"/>
        <w:jc w:val="both"/>
        <w:rPr>
          <w:b/>
          <w:b/>
          <w:i/>
          <w:i/>
          <w:highlight w:val="yellow"/>
        </w:rPr>
      </w:pPr>
      <w:r>
        <w:rPr>
          <w:b/>
          <w:i/>
          <w:highlight w:val="yellow"/>
        </w:rPr>
      </w:r>
    </w:p>
    <w:tbl>
      <w:tblPr>
        <w:tblStyle w:val="af8"/>
        <w:tblW w:w="91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14"/>
        <w:gridCol w:w="4679"/>
        <w:gridCol w:w="3682"/>
      </w:tblGrid>
      <w:tr>
        <w:trPr>
          <w:tblHeader w:val="true"/>
        </w:trPr>
        <w:tc>
          <w:tcPr>
            <w:tcW w:w="814" w:type="dxa"/>
            <w:tcBorders/>
          </w:tcPr>
          <w:p>
            <w:pPr>
              <w:pStyle w:val="Normal"/>
              <w:widowControl w:val="false"/>
              <w:suppressAutoHyphens w:val="true"/>
              <w:spacing w:before="0" w:after="0"/>
              <w:jc w:val="left"/>
              <w:rPr>
                <w:b/>
                <w:b/>
                <w:lang w:val="en-AU"/>
              </w:rPr>
            </w:pPr>
            <w:r>
              <w:rPr>
                <w:rFonts w:eastAsia="Calibri" w:cs="Arial"/>
                <w:b/>
                <w:color w:val="000000"/>
                <w:kern w:val="0"/>
                <w:sz w:val="22"/>
                <w:szCs w:val="22"/>
                <w:lang w:val="en-AU" w:eastAsia="en-US" w:bidi="ar-SA"/>
              </w:rPr>
              <w:t>No.</w:t>
            </w:r>
          </w:p>
        </w:tc>
        <w:tc>
          <w:tcPr>
            <w:tcW w:w="4679" w:type="dxa"/>
            <w:tcBorders/>
          </w:tcPr>
          <w:p>
            <w:pPr>
              <w:pStyle w:val="Normal"/>
              <w:widowControl w:val="false"/>
              <w:suppressAutoHyphens w:val="true"/>
              <w:spacing w:before="0" w:after="0"/>
              <w:jc w:val="left"/>
              <w:rPr>
                <w:b/>
                <w:b/>
                <w:lang w:val="en-AU"/>
              </w:rPr>
            </w:pPr>
            <w:r>
              <w:rPr>
                <w:rFonts w:eastAsia="Calibri" w:cs="Arial"/>
                <w:b/>
                <w:color w:val="000000"/>
                <w:kern w:val="0"/>
                <w:sz w:val="22"/>
                <w:szCs w:val="22"/>
                <w:lang w:val="en-AU" w:eastAsia="en-US" w:bidi="ar-SA"/>
              </w:rPr>
              <w:t>Position Description</w:t>
            </w:r>
          </w:p>
        </w:tc>
        <w:tc>
          <w:tcPr>
            <w:tcW w:w="3682" w:type="dxa"/>
            <w:tcBorders/>
          </w:tcPr>
          <w:p>
            <w:pPr>
              <w:pStyle w:val="Normal"/>
              <w:widowControl w:val="false"/>
              <w:suppressAutoHyphens w:val="true"/>
              <w:spacing w:before="0" w:after="0"/>
              <w:jc w:val="left"/>
              <w:rPr>
                <w:b/>
                <w:b/>
                <w:highlight w:val="red"/>
                <w:lang w:val="en-AU"/>
              </w:rPr>
            </w:pPr>
            <w:r>
              <w:rPr>
                <w:rFonts w:eastAsia="Calibri" w:cs="Arial"/>
                <w:b/>
                <w:color w:val="000000"/>
                <w:kern w:val="0"/>
                <w:sz w:val="22"/>
                <w:szCs w:val="22"/>
                <w:lang w:val="en-GB" w:eastAsia="en-US" w:bidi="ar-SA"/>
              </w:rPr>
              <w:t>Qualifications and Experience</w:t>
            </w:r>
          </w:p>
        </w:tc>
      </w:tr>
      <w:tr>
        <w:trPr/>
        <w:tc>
          <w:tcPr>
            <w:tcW w:w="814" w:type="dxa"/>
            <w:tcBorders/>
          </w:tcPr>
          <w:p>
            <w:pPr>
              <w:pStyle w:val="Normal"/>
              <w:widowControl w:val="false"/>
              <w:suppressAutoHyphens w:val="true"/>
              <w:spacing w:before="0" w:after="0"/>
              <w:jc w:val="both"/>
              <w:rPr>
                <w:lang w:val="en-AU"/>
              </w:rPr>
            </w:pPr>
            <w:r>
              <w:rPr>
                <w:lang w:val="en-AU"/>
              </w:rPr>
            </w:r>
          </w:p>
          <w:p>
            <w:pPr>
              <w:pStyle w:val="Normal"/>
              <w:widowControl w:val="false"/>
              <w:suppressAutoHyphens w:val="true"/>
              <w:spacing w:before="0" w:after="0"/>
              <w:jc w:val="both"/>
              <w:rPr>
                <w:lang w:val="en-AU"/>
              </w:rPr>
            </w:pPr>
            <w:r>
              <w:rPr>
                <w:lang w:val="en-AU"/>
              </w:rPr>
            </w:r>
          </w:p>
          <w:p>
            <w:pPr>
              <w:pStyle w:val="Normal"/>
              <w:widowControl w:val="false"/>
              <w:suppressAutoHyphens w:val="true"/>
              <w:spacing w:before="0" w:after="0"/>
              <w:jc w:val="both"/>
              <w:rPr>
                <w:lang w:val="en-AU"/>
              </w:rPr>
            </w:pPr>
            <w:r>
              <w:rPr>
                <w:rFonts w:eastAsia="Calibri" w:cs="Arial"/>
                <w:color w:val="000000"/>
                <w:kern w:val="0"/>
                <w:sz w:val="22"/>
                <w:szCs w:val="22"/>
                <w:lang w:val="en-AU" w:eastAsia="en-US" w:bidi="ar-SA"/>
              </w:rPr>
              <w:t>1</w:t>
            </w:r>
          </w:p>
        </w:tc>
        <w:tc>
          <w:tcPr>
            <w:tcW w:w="4679" w:type="dxa"/>
            <w:tcBorders/>
          </w:tcPr>
          <w:p>
            <w:pPr>
              <w:pStyle w:val="Normal"/>
              <w:widowControl w:val="false"/>
              <w:suppressAutoHyphens w:val="true"/>
              <w:spacing w:before="0" w:after="0"/>
              <w:jc w:val="both"/>
              <w:rPr>
                <w:b/>
                <w:b/>
                <w:i/>
                <w:i/>
                <w:lang w:val="en-AU"/>
              </w:rPr>
            </w:pPr>
            <w:r>
              <w:rPr>
                <w:rFonts w:eastAsia="Calibri" w:cs="Arial"/>
                <w:b/>
                <w:i/>
                <w:color w:val="000000"/>
                <w:kern w:val="0"/>
                <w:sz w:val="22"/>
                <w:szCs w:val="22"/>
                <w:lang w:val="en-AU" w:eastAsia="en-US" w:bidi="ar-SA"/>
              </w:rPr>
              <w:t>Project Manager:</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To be responsible for the successful management of assigned project, its technical quality, schedule, project staff coordination, client communications, negotiating scopes and fees, billing and client follow-up maintenance</w:t>
            </w:r>
          </w:p>
        </w:tc>
        <w:tc>
          <w:tcPr>
            <w:tcW w:w="3682" w:type="dxa"/>
            <w:tcBorders/>
          </w:tcPr>
          <w:p>
            <w:pPr>
              <w:pStyle w:val="Normal"/>
              <w:widowControl w:val="false"/>
              <w:suppressAutoHyphens w:val="true"/>
              <w:spacing w:lineRule="auto" w:line="276" w:before="0" w:after="0"/>
              <w:jc w:val="left"/>
              <w:rPr>
                <w:rFonts w:eastAsia="Times New Roman"/>
                <w:lang w:eastAsia="en-GB"/>
              </w:rPr>
            </w:pPr>
            <w:r>
              <w:rPr>
                <w:rFonts w:eastAsia="Times New Roman" w:cs="Arial"/>
                <w:b/>
                <w:color w:val="000000"/>
                <w:kern w:val="0"/>
                <w:sz w:val="22"/>
                <w:szCs w:val="22"/>
                <w:lang w:val="en-GB" w:eastAsia="en-GB" w:bidi="ar-SA"/>
              </w:rPr>
              <w:t>Education</w:t>
            </w:r>
            <w:r>
              <w:rPr>
                <w:rFonts w:eastAsia="Times New Roman" w:cs="Arial"/>
                <w:b/>
                <w:color w:val="000000"/>
                <w:kern w:val="0"/>
                <w:sz w:val="22"/>
                <w:szCs w:val="22"/>
                <w:lang w:val="en-US" w:eastAsia="en-GB" w:bidi="ar-SA"/>
              </w:rPr>
              <w:t>:</w:t>
            </w:r>
          </w:p>
          <w:p>
            <w:pPr>
              <w:pStyle w:val="Normal"/>
              <w:widowControl w:val="false"/>
              <w:numPr>
                <w:ilvl w:val="0"/>
                <w:numId w:val="28"/>
              </w:numPr>
              <w:suppressAutoHyphens w:val="true"/>
              <w:overflowPunct w:val="true"/>
              <w:spacing w:lineRule="auto" w:line="276" w:before="0" w:after="0"/>
              <w:ind w:left="600" w:right="220" w:hanging="360"/>
              <w:jc w:val="left"/>
              <w:rPr>
                <w:lang w:val="en-GB"/>
              </w:rPr>
            </w:pPr>
            <w:r>
              <w:rPr>
                <w:rFonts w:eastAsia="Calibri" w:cs="Arial"/>
                <w:color w:val="000000"/>
                <w:kern w:val="0"/>
                <w:sz w:val="22"/>
                <w:szCs w:val="22"/>
                <w:lang w:val="en-GB" w:eastAsia="en-US" w:bidi="ar-SA"/>
              </w:rPr>
              <w:t>Master’s degree</w:t>
            </w:r>
            <w:r>
              <w:rPr>
                <w:rFonts w:eastAsia="Times New Roman" w:cs="Arial"/>
                <w:color w:val="000000"/>
                <w:kern w:val="0"/>
                <w:sz w:val="22"/>
                <w:szCs w:val="22"/>
                <w:lang w:val="en-GB" w:eastAsia="en-US" w:bidi="ar-SA"/>
              </w:rPr>
              <w:t xml:space="preserve"> in construction management or similar</w:t>
            </w:r>
            <w:r>
              <w:rPr>
                <w:rFonts w:eastAsia="Calibri" w:cs="Arial"/>
                <w:color w:val="000000"/>
                <w:kern w:val="0"/>
                <w:sz w:val="22"/>
                <w:szCs w:val="22"/>
                <w:lang w:val="en-GB" w:eastAsia="en-US" w:bidi="ar-SA"/>
              </w:rPr>
              <w:t>.</w:t>
            </w:r>
          </w:p>
          <w:p>
            <w:pPr>
              <w:pStyle w:val="ListParagraph"/>
              <w:widowControl w:val="false"/>
              <w:numPr>
                <w:ilvl w:val="0"/>
                <w:numId w:val="28"/>
              </w:numPr>
              <w:suppressAutoHyphens w:val="true"/>
              <w:spacing w:before="0" w:after="0"/>
              <w:ind w:left="600" w:hanging="360"/>
              <w:jc w:val="left"/>
              <w:rPr>
                <w:rFonts w:ascii="Arial" w:hAnsi="Arial"/>
                <w:lang w:val="en-GB"/>
              </w:rPr>
            </w:pPr>
            <w:r>
              <w:rPr>
                <w:rFonts w:ascii="Arial" w:hAnsi="Arial"/>
                <w:color w:val="000000"/>
                <w:kern w:val="0"/>
                <w:sz w:val="22"/>
                <w:szCs w:val="22"/>
                <w:lang w:val="en-GB" w:eastAsia="en-US" w:bidi="ar-SA"/>
              </w:rPr>
              <w:t>A combination of Bachelor’s degree with an additional 2 years of relevant work experience may be accepted in lieu of the education requirements outlined above.</w:t>
            </w:r>
          </w:p>
          <w:p>
            <w:pPr>
              <w:pStyle w:val="Normal"/>
              <w:widowControl w:val="false"/>
              <w:tabs>
                <w:tab w:val="clear" w:pos="720"/>
                <w:tab w:val="left" w:pos="-2340" w:leader="none"/>
                <w:tab w:val="left" w:pos="-720" w:leader="none"/>
              </w:tabs>
              <w:suppressAutoHyphens w:val="true"/>
              <w:spacing w:lineRule="auto" w:line="276" w:before="0" w:after="0"/>
              <w:jc w:val="left"/>
              <w:rPr>
                <w:rFonts w:eastAsia="Times New Roman"/>
                <w:b/>
                <w:b/>
                <w:lang w:val="en-GB" w:eastAsia="en-GB"/>
              </w:rPr>
            </w:pPr>
            <w:r>
              <w:rPr>
                <w:rFonts w:eastAsia="Times New Roman"/>
                <w:b/>
                <w:lang w:val="en-GB" w:eastAsia="en-GB"/>
              </w:rPr>
            </w:r>
          </w:p>
          <w:p>
            <w:pPr>
              <w:pStyle w:val="Normal"/>
              <w:widowControl w:val="false"/>
              <w:tabs>
                <w:tab w:val="clear" w:pos="720"/>
                <w:tab w:val="left" w:pos="-2340" w:leader="none"/>
                <w:tab w:val="left" w:pos="-720" w:leader="none"/>
              </w:tabs>
              <w:suppressAutoHyphens w:val="true"/>
              <w:spacing w:lineRule="auto" w:line="276" w:before="0" w:after="0"/>
              <w:jc w:val="left"/>
              <w:rPr>
                <w:rFonts w:eastAsia="Times New Roman"/>
                <w:b/>
                <w:b/>
                <w:lang w:val="en-GB" w:eastAsia="en-GB"/>
              </w:rPr>
            </w:pPr>
            <w:r>
              <w:rPr>
                <w:rFonts w:eastAsia="Times New Roman" w:cs="Arial"/>
                <w:b/>
                <w:color w:val="000000"/>
                <w:kern w:val="0"/>
                <w:sz w:val="22"/>
                <w:szCs w:val="22"/>
                <w:lang w:val="en-GB" w:eastAsia="en-GB" w:bidi="ar-SA"/>
              </w:rPr>
              <w:t>Work Experience:</w:t>
            </w:r>
          </w:p>
          <w:p>
            <w:pPr>
              <w:pStyle w:val="ListParagraph"/>
              <w:widowControl w:val="false"/>
              <w:suppressAutoHyphens w:val="true"/>
              <w:spacing w:before="0" w:after="0"/>
              <w:ind w:left="600" w:hanging="0"/>
              <w:jc w:val="left"/>
              <w:rPr>
                <w:rFonts w:ascii="Arial" w:hAnsi="Arial"/>
                <w:lang w:val="en-GB"/>
              </w:rPr>
            </w:pPr>
            <w:r>
              <w:rPr>
                <w:rFonts w:ascii="Arial" w:hAnsi="Arial"/>
                <w:lang w:val="en-GB"/>
              </w:rPr>
            </w:r>
          </w:p>
          <w:p>
            <w:pPr>
              <w:pStyle w:val="ListParagraph"/>
              <w:widowControl w:val="false"/>
              <w:numPr>
                <w:ilvl w:val="0"/>
                <w:numId w:val="29"/>
              </w:numPr>
              <w:suppressAutoHyphens w:val="true"/>
              <w:spacing w:before="0" w:after="0"/>
              <w:ind w:left="600" w:hanging="360"/>
              <w:rPr>
                <w:rFonts w:ascii="Arial" w:hAnsi="Arial"/>
                <w:lang w:val="en-GB"/>
              </w:rPr>
            </w:pPr>
            <w:r>
              <w:rPr>
                <w:rFonts w:ascii="Arial" w:hAnsi="Arial"/>
                <w:color w:val="000000"/>
                <w:kern w:val="0"/>
                <w:sz w:val="22"/>
                <w:szCs w:val="22"/>
                <w:lang w:val="en-GB" w:eastAsia="en-US" w:bidi="ar-SA"/>
              </w:rPr>
              <w:t xml:space="preserve">Minimum five years experience in managing or supervising construction activities related to the project requirements on a range of large and diverse construction projects in a developed commercial environment, requiring the coordination </w:t>
            </w:r>
            <w:bookmarkStart w:id="44" w:name="OLE_LINK4"/>
            <w:bookmarkStart w:id="45" w:name="OLE_LINK3"/>
            <w:r>
              <w:rPr>
                <w:rFonts w:ascii="Arial" w:hAnsi="Arial"/>
                <w:color w:val="000000"/>
                <w:kern w:val="0"/>
                <w:sz w:val="22"/>
                <w:szCs w:val="22"/>
                <w:lang w:val="en-GB" w:eastAsia="en-US" w:bidi="ar-SA"/>
              </w:rPr>
              <w:t>of multiple contractors and multiple trades simultaneously is required</w:t>
            </w:r>
            <w:bookmarkEnd w:id="44"/>
            <w:bookmarkEnd w:id="45"/>
            <w:r>
              <w:rPr>
                <w:rFonts w:ascii="Arial" w:hAnsi="Arial"/>
                <w:color w:val="000000"/>
                <w:kern w:val="0"/>
                <w:sz w:val="22"/>
                <w:szCs w:val="22"/>
                <w:lang w:val="en-GB" w:eastAsia="en-US" w:bidi="ar-SA"/>
              </w:rPr>
              <w:t xml:space="preserve">. </w:t>
            </w:r>
          </w:p>
          <w:p>
            <w:pPr>
              <w:pStyle w:val="ListParagraph"/>
              <w:widowControl w:val="false"/>
              <w:numPr>
                <w:ilvl w:val="0"/>
                <w:numId w:val="29"/>
              </w:numPr>
              <w:suppressAutoHyphens w:val="true"/>
              <w:spacing w:before="0" w:after="0"/>
              <w:ind w:left="600" w:hanging="360"/>
              <w:rPr>
                <w:rFonts w:ascii="Arial" w:hAnsi="Arial"/>
                <w:lang w:val="en-GB"/>
              </w:rPr>
            </w:pPr>
            <w:bookmarkStart w:id="46" w:name="OLE_LINK8"/>
            <w:bookmarkStart w:id="47" w:name="OLE_LINK5"/>
            <w:r>
              <w:rPr>
                <w:rFonts w:ascii="Arial" w:hAnsi="Arial"/>
                <w:color w:val="000000"/>
                <w:kern w:val="0"/>
                <w:sz w:val="22"/>
                <w:szCs w:val="22"/>
                <w:lang w:val="en-GB" w:eastAsia="en-US" w:bidi="ar-SA"/>
              </w:rPr>
              <w:t xml:space="preserve">Extensive experience implementing works under complex quality and safety plans is essential. </w:t>
            </w:r>
            <w:bookmarkEnd w:id="46"/>
            <w:bookmarkEnd w:id="47"/>
          </w:p>
        </w:tc>
      </w:tr>
      <w:tr>
        <w:trPr/>
        <w:tc>
          <w:tcPr>
            <w:tcW w:w="814" w:type="dxa"/>
            <w:tcBorders/>
          </w:tcPr>
          <w:p>
            <w:pPr>
              <w:pStyle w:val="Normal"/>
              <w:widowControl w:val="false"/>
              <w:suppressAutoHyphens w:val="true"/>
              <w:spacing w:before="0" w:after="0"/>
              <w:jc w:val="both"/>
              <w:rPr>
                <w:lang w:val="en-AU"/>
              </w:rPr>
            </w:pPr>
            <w:r>
              <w:rPr>
                <w:rFonts w:eastAsia="Calibri" w:cs="Arial"/>
                <w:color w:val="000000"/>
                <w:kern w:val="0"/>
                <w:sz w:val="22"/>
                <w:szCs w:val="22"/>
                <w:lang w:val="en-AU" w:eastAsia="en-US" w:bidi="ar-SA"/>
              </w:rPr>
              <w:t>2</w:t>
            </w:r>
          </w:p>
        </w:tc>
        <w:tc>
          <w:tcPr>
            <w:tcW w:w="4679" w:type="dxa"/>
            <w:tcBorders/>
          </w:tcPr>
          <w:p>
            <w:pPr>
              <w:pStyle w:val="Normal"/>
              <w:widowControl w:val="false"/>
              <w:suppressAutoHyphens w:val="true"/>
              <w:spacing w:before="0" w:after="0"/>
              <w:jc w:val="left"/>
              <w:rPr>
                <w:b/>
                <w:b/>
                <w:lang w:val="en-AU"/>
              </w:rPr>
            </w:pPr>
            <w:r>
              <w:rPr>
                <w:rFonts w:eastAsia="Calibri" w:cs="Arial"/>
                <w:b/>
                <w:color w:val="000000"/>
                <w:kern w:val="0"/>
                <w:sz w:val="22"/>
                <w:szCs w:val="22"/>
                <w:lang w:val="en-AU" w:eastAsia="en-US" w:bidi="ar-SA"/>
              </w:rPr>
              <w:t>Field Engineer:</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To perform field engineer duties including all</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setting out and applies the design as well as</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liaising with and working alongside the engineers, construction supervisor, surveyors and subcontractors. She/He shares responsibility for site security, health and safety, social and environmental, and the organization and supervision of material and</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human resources in the field. ensure that material and placement comply with the technical specifications, will analyse failure, and implement corrective and preventive action to ensure contracted quality is provided, creates and maintains quality documentation, such as quality manuals, quality procedures, etc., is responsible for planning, and carrying all required tests for using quality material and their placement, continuously improving QA receiving inspection process and procedures, and prepares QA/QC reports.</w:t>
            </w:r>
          </w:p>
        </w:tc>
        <w:tc>
          <w:tcPr>
            <w:tcW w:w="3682" w:type="dxa"/>
            <w:tcBorders/>
          </w:tcPr>
          <w:p>
            <w:pPr>
              <w:pStyle w:val="Normal"/>
              <w:widowControl w:val="false"/>
              <w:suppressAutoHyphens w:val="true"/>
              <w:spacing w:lineRule="auto" w:line="276" w:before="0" w:after="0"/>
              <w:jc w:val="center"/>
              <w:rPr>
                <w:rFonts w:eastAsia="Times New Roman"/>
                <w:lang w:eastAsia="en-GB"/>
              </w:rPr>
            </w:pPr>
            <w:r>
              <w:rPr>
                <w:rFonts w:eastAsia="Times New Roman" w:cs="Arial"/>
                <w:b/>
                <w:color w:val="000000"/>
                <w:kern w:val="0"/>
                <w:sz w:val="22"/>
                <w:szCs w:val="22"/>
                <w:lang w:val="en-GB" w:eastAsia="en-GB" w:bidi="ar-SA"/>
              </w:rPr>
              <w:t>Education</w:t>
            </w:r>
            <w:r>
              <w:rPr>
                <w:rFonts w:eastAsia="Times New Roman" w:cs="Arial"/>
                <w:b/>
                <w:color w:val="000000"/>
                <w:kern w:val="0"/>
                <w:sz w:val="22"/>
                <w:szCs w:val="22"/>
                <w:lang w:val="en-US" w:eastAsia="en-GB" w:bidi="ar-SA"/>
              </w:rPr>
              <w:t>:</w:t>
            </w:r>
          </w:p>
          <w:p>
            <w:pPr>
              <w:pStyle w:val="Normal"/>
              <w:widowControl w:val="false"/>
              <w:numPr>
                <w:ilvl w:val="0"/>
                <w:numId w:val="26"/>
              </w:numPr>
              <w:suppressAutoHyphens w:val="true"/>
              <w:overflowPunct w:val="true"/>
              <w:spacing w:lineRule="auto" w:line="276" w:before="0" w:after="0"/>
              <w:ind w:left="720" w:right="220" w:hanging="360"/>
              <w:jc w:val="both"/>
              <w:rPr>
                <w:lang w:val="en-GB"/>
              </w:rPr>
            </w:pPr>
            <w:r>
              <w:rPr>
                <w:rFonts w:eastAsia="Calibri" w:cs="Arial"/>
                <w:color w:val="000000"/>
                <w:kern w:val="0"/>
                <w:sz w:val="22"/>
                <w:szCs w:val="22"/>
                <w:lang w:val="en-GB" w:eastAsia="en-US" w:bidi="ar-SA"/>
              </w:rPr>
              <w:t xml:space="preserve">Master’s degree in civil engineering </w:t>
            </w:r>
            <w:r>
              <w:rPr>
                <w:rFonts w:eastAsia="Times New Roman" w:cs="Arial"/>
                <w:color w:val="000000"/>
                <w:kern w:val="0"/>
                <w:sz w:val="22"/>
                <w:szCs w:val="22"/>
                <w:lang w:val="en-GB" w:eastAsia="en-US" w:bidi="ar-SA"/>
              </w:rPr>
              <w:t>or similar</w:t>
            </w:r>
            <w:r>
              <w:rPr>
                <w:rFonts w:eastAsia="Calibri" w:cs="Arial"/>
                <w:color w:val="000000"/>
                <w:kern w:val="0"/>
                <w:sz w:val="22"/>
                <w:szCs w:val="22"/>
                <w:lang w:val="en-GB" w:eastAsia="en-US" w:bidi="ar-SA"/>
              </w:rPr>
              <w:t>.</w:t>
            </w:r>
          </w:p>
          <w:p>
            <w:pPr>
              <w:pStyle w:val="Normal"/>
              <w:widowControl w:val="false"/>
              <w:numPr>
                <w:ilvl w:val="0"/>
                <w:numId w:val="26"/>
              </w:numPr>
              <w:suppressAutoHyphens w:val="true"/>
              <w:overflowPunct w:val="true"/>
              <w:spacing w:lineRule="auto" w:line="276" w:before="0" w:after="0"/>
              <w:ind w:left="720" w:right="220" w:hanging="360"/>
              <w:jc w:val="both"/>
              <w:rPr>
                <w:lang w:val="en-GB"/>
              </w:rPr>
            </w:pPr>
            <w:r>
              <w:rPr>
                <w:rFonts w:eastAsia="Calibri" w:cs="Arial"/>
                <w:color w:val="000000"/>
                <w:kern w:val="0"/>
                <w:sz w:val="22"/>
                <w:szCs w:val="22"/>
                <w:lang w:val="en-GB" w:eastAsia="en-US" w:bidi="ar-SA"/>
              </w:rPr>
              <w:t>A combination of Bachelor’s degree with an additional 2 years of relevant work experience may be accepted in lieu of the education requirements outlined above.</w:t>
            </w:r>
          </w:p>
          <w:p>
            <w:pPr>
              <w:pStyle w:val="Normal"/>
              <w:widowControl w:val="false"/>
              <w:tabs>
                <w:tab w:val="clear" w:pos="720"/>
                <w:tab w:val="left" w:pos="-2340" w:leader="none"/>
                <w:tab w:val="left" w:pos="-720" w:leader="none"/>
              </w:tabs>
              <w:suppressAutoHyphens w:val="true"/>
              <w:spacing w:lineRule="auto" w:line="276" w:before="0" w:after="0"/>
              <w:jc w:val="center"/>
              <w:rPr>
                <w:rFonts w:eastAsia="Times New Roman"/>
                <w:b/>
                <w:b/>
                <w:lang w:val="en-GB" w:eastAsia="en-GB"/>
              </w:rPr>
            </w:pPr>
            <w:r>
              <w:rPr>
                <w:rFonts w:eastAsia="Times New Roman" w:cs="Arial"/>
                <w:b/>
                <w:color w:val="000000"/>
                <w:kern w:val="0"/>
                <w:sz w:val="22"/>
                <w:szCs w:val="22"/>
                <w:lang w:val="en-GB" w:eastAsia="en-GB" w:bidi="ar-SA"/>
              </w:rPr>
              <w:t>Work Experience:</w:t>
            </w:r>
          </w:p>
          <w:p>
            <w:pPr>
              <w:pStyle w:val="Normal"/>
              <w:widowControl w:val="false"/>
              <w:numPr>
                <w:ilvl w:val="0"/>
                <w:numId w:val="27"/>
              </w:numPr>
              <w:suppressAutoHyphens w:val="true"/>
              <w:spacing w:lineRule="auto" w:line="276" w:before="0" w:after="0"/>
              <w:jc w:val="left"/>
              <w:rPr>
                <w:lang w:val="en-GB"/>
              </w:rPr>
            </w:pPr>
            <w:r>
              <w:rPr>
                <w:rFonts w:eastAsia="Calibri" w:cs="Arial"/>
                <w:color w:val="000000"/>
                <w:kern w:val="0"/>
                <w:sz w:val="22"/>
                <w:szCs w:val="22"/>
                <w:lang w:val="en-GB" w:eastAsia="en-US" w:bidi="ar-SA"/>
              </w:rPr>
              <w:t xml:space="preserve">Minimum two years of relevant professional engineering experience at site. </w:t>
            </w:r>
          </w:p>
          <w:p>
            <w:pPr>
              <w:pStyle w:val="Normal"/>
              <w:widowControl w:val="false"/>
              <w:numPr>
                <w:ilvl w:val="0"/>
                <w:numId w:val="27"/>
              </w:numPr>
              <w:suppressAutoHyphens w:val="true"/>
              <w:spacing w:lineRule="auto" w:line="276" w:before="0" w:after="0"/>
              <w:jc w:val="left"/>
              <w:rPr>
                <w:lang w:val="en-AU"/>
              </w:rPr>
            </w:pPr>
            <w:r>
              <w:rPr>
                <w:rFonts w:eastAsia="Calibri" w:cs="Arial"/>
                <w:color w:val="000000"/>
                <w:kern w:val="0"/>
                <w:sz w:val="22"/>
                <w:szCs w:val="22"/>
                <w:lang w:val="en-GB" w:eastAsia="en-US" w:bidi="ar-SA"/>
              </w:rPr>
              <w:t>Experience in works related to management of relevant sites.</w:t>
            </w:r>
          </w:p>
        </w:tc>
      </w:tr>
      <w:tr>
        <w:trPr/>
        <w:tc>
          <w:tcPr>
            <w:tcW w:w="814" w:type="dxa"/>
            <w:tcBorders/>
          </w:tcPr>
          <w:p>
            <w:pPr>
              <w:pStyle w:val="Normal"/>
              <w:widowControl w:val="false"/>
              <w:suppressAutoHyphens w:val="true"/>
              <w:spacing w:before="0" w:after="0"/>
              <w:jc w:val="both"/>
              <w:rPr>
                <w:lang w:val="en-AU"/>
              </w:rPr>
            </w:pPr>
            <w:r>
              <w:rPr>
                <w:rFonts w:eastAsia="Calibri" w:cs="Arial"/>
                <w:color w:val="000000"/>
                <w:kern w:val="0"/>
                <w:sz w:val="22"/>
                <w:szCs w:val="22"/>
                <w:lang w:val="en-AU" w:eastAsia="en-US" w:bidi="ar-SA"/>
              </w:rPr>
              <w:t>3</w:t>
            </w:r>
          </w:p>
        </w:tc>
        <w:tc>
          <w:tcPr>
            <w:tcW w:w="4679" w:type="dxa"/>
            <w:tcBorders/>
          </w:tcPr>
          <w:p>
            <w:pPr>
              <w:pStyle w:val="Normal"/>
              <w:widowControl w:val="false"/>
              <w:suppressAutoHyphens w:val="true"/>
              <w:spacing w:before="0" w:after="0"/>
              <w:jc w:val="left"/>
              <w:rPr>
                <w:b/>
                <w:b/>
                <w:lang w:val="en-AU"/>
              </w:rPr>
            </w:pPr>
            <w:r>
              <w:rPr>
                <w:rFonts w:eastAsia="Calibri" w:cs="Arial"/>
                <w:b/>
                <w:color w:val="000000"/>
                <w:kern w:val="0"/>
                <w:sz w:val="22"/>
                <w:szCs w:val="22"/>
                <w:lang w:val="en-AU" w:eastAsia="en-US" w:bidi="ar-SA"/>
              </w:rPr>
              <w:t>Health &amp; Safety Project Officer</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To be fully responsible for the health and</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safety of all workers, employees, consultants,</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public and visitors to the site. The officer shall</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carry out Health and Safety risk assessments</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and consider how risks could be reduced and</w:t>
            </w:r>
          </w:p>
          <w:p>
            <w:pPr>
              <w:pStyle w:val="Normal"/>
              <w:widowControl w:val="false"/>
              <w:suppressAutoHyphens w:val="true"/>
              <w:spacing w:before="0" w:after="0"/>
              <w:jc w:val="left"/>
              <w:rPr>
                <w:lang w:val="en-AU"/>
              </w:rPr>
            </w:pPr>
            <w:r>
              <w:rPr>
                <w:rFonts w:eastAsia="Calibri" w:cs="Arial"/>
                <w:color w:val="000000"/>
                <w:kern w:val="0"/>
                <w:sz w:val="22"/>
                <w:szCs w:val="22"/>
                <w:lang w:val="en-AU" w:eastAsia="en-US" w:bidi="ar-SA"/>
              </w:rPr>
              <w:t>ensure safer construction practices and to prevent dangerous acts that could lead to accidents/injuries on site. The Officer shall identify any specific health and safety law, regulations and relevant authorities’ policies and procedures relating to the execution, completion and remedying of the works. The Officer shall be experienced in the use of proper PPE, safe operating practices in Fall Protection, Electrical Safety, Stairways and Ladders Safety, Material Handling, Storage, Use and Disposal, Scaffolding, Fire Protection and Prevention, Excavations, Hand and Power Tools, Evacuations, etc.</w:t>
            </w:r>
          </w:p>
        </w:tc>
        <w:tc>
          <w:tcPr>
            <w:tcW w:w="3682" w:type="dxa"/>
            <w:tcBorders/>
          </w:tcPr>
          <w:p>
            <w:pPr>
              <w:pStyle w:val="Normal"/>
              <w:widowControl w:val="false"/>
              <w:suppressAutoHyphens w:val="true"/>
              <w:spacing w:lineRule="auto" w:line="276" w:before="0" w:after="0"/>
              <w:jc w:val="center"/>
              <w:rPr>
                <w:rFonts w:eastAsia="Times New Roman"/>
                <w:lang w:eastAsia="en-GB"/>
              </w:rPr>
            </w:pPr>
            <w:r>
              <w:rPr>
                <w:rFonts w:eastAsia="Times New Roman" w:cs="Arial"/>
                <w:b/>
                <w:color w:val="000000"/>
                <w:kern w:val="0"/>
                <w:sz w:val="22"/>
                <w:szCs w:val="22"/>
                <w:lang w:val="en-GB" w:eastAsia="en-GB" w:bidi="ar-SA"/>
              </w:rPr>
              <w:t>Education</w:t>
            </w:r>
            <w:r>
              <w:rPr>
                <w:rFonts w:eastAsia="Times New Roman" w:cs="Arial"/>
                <w:b/>
                <w:color w:val="000000"/>
                <w:kern w:val="0"/>
                <w:sz w:val="22"/>
                <w:szCs w:val="22"/>
                <w:lang w:val="en-US" w:eastAsia="en-GB" w:bidi="ar-SA"/>
              </w:rPr>
              <w:t>:</w:t>
            </w:r>
          </w:p>
          <w:p>
            <w:pPr>
              <w:pStyle w:val="Normal"/>
              <w:widowControl w:val="false"/>
              <w:numPr>
                <w:ilvl w:val="0"/>
                <w:numId w:val="30"/>
              </w:numPr>
              <w:suppressAutoHyphens w:val="true"/>
              <w:overflowPunct w:val="true"/>
              <w:spacing w:lineRule="auto" w:line="276" w:before="0" w:after="0"/>
              <w:ind w:left="720" w:right="220" w:hanging="360"/>
              <w:jc w:val="left"/>
              <w:rPr>
                <w:lang w:val="en-GB"/>
              </w:rPr>
            </w:pPr>
            <w:r>
              <w:rPr>
                <w:rFonts w:eastAsia="Calibri" w:cs="Arial"/>
                <w:color w:val="000000"/>
                <w:kern w:val="0"/>
                <w:sz w:val="22"/>
                <w:szCs w:val="22"/>
                <w:lang w:val="en-GB" w:eastAsia="en-US" w:bidi="ar-SA"/>
              </w:rPr>
              <w:t>Master’s degree</w:t>
            </w:r>
            <w:r>
              <w:rPr>
                <w:rFonts w:eastAsia="Times New Roman" w:cs="Arial"/>
                <w:color w:val="000000"/>
                <w:kern w:val="0"/>
                <w:sz w:val="22"/>
                <w:szCs w:val="22"/>
                <w:lang w:val="en-GB" w:eastAsia="en-US" w:bidi="ar-SA"/>
              </w:rPr>
              <w:t xml:space="preserve"> in </w:t>
            </w:r>
            <w:r>
              <w:rPr>
                <w:rFonts w:eastAsia="Times New Roman" w:cs="Arial"/>
                <w:color w:val="000000"/>
                <w:kern w:val="0"/>
                <w:sz w:val="22"/>
                <w:szCs w:val="22"/>
                <w:lang w:eastAsia="en-US" w:bidi="ar-SA"/>
              </w:rPr>
              <w:t xml:space="preserve">health and safety in construction </w:t>
            </w:r>
            <w:r>
              <w:rPr>
                <w:rFonts w:eastAsia="Times New Roman" w:cs="Arial"/>
                <w:color w:val="000000"/>
                <w:kern w:val="0"/>
                <w:sz w:val="22"/>
                <w:szCs w:val="22"/>
                <w:lang w:val="en-GB" w:eastAsia="en-US" w:bidi="ar-SA"/>
              </w:rPr>
              <w:t xml:space="preserve"> or similar</w:t>
            </w:r>
            <w:r>
              <w:rPr>
                <w:rFonts w:eastAsia="Calibri" w:cs="Arial"/>
                <w:color w:val="000000"/>
                <w:kern w:val="0"/>
                <w:sz w:val="22"/>
                <w:szCs w:val="22"/>
                <w:lang w:val="en-GB" w:eastAsia="en-US" w:bidi="ar-SA"/>
              </w:rPr>
              <w:t>.</w:t>
            </w:r>
          </w:p>
          <w:p>
            <w:pPr>
              <w:pStyle w:val="ListParagraph"/>
              <w:widowControl w:val="false"/>
              <w:numPr>
                <w:ilvl w:val="0"/>
                <w:numId w:val="30"/>
              </w:numPr>
              <w:suppressAutoHyphens w:val="true"/>
              <w:spacing w:before="0" w:after="0"/>
              <w:jc w:val="left"/>
              <w:rPr>
                <w:rFonts w:ascii="Arial" w:hAnsi="Arial"/>
                <w:lang w:val="en-GB"/>
              </w:rPr>
            </w:pPr>
            <w:r>
              <w:rPr>
                <w:rFonts w:ascii="Arial" w:hAnsi="Arial"/>
                <w:color w:val="000000"/>
                <w:kern w:val="0"/>
                <w:sz w:val="22"/>
                <w:szCs w:val="22"/>
                <w:lang w:val="en-GB" w:eastAsia="en-US" w:bidi="ar-SA"/>
              </w:rPr>
              <w:t>A combination of Bachelor’s degree with an additional 2 years of relevant work experience may be accepted in lieu of the education requirements outlined above.</w:t>
            </w:r>
          </w:p>
          <w:p>
            <w:pPr>
              <w:pStyle w:val="Normal"/>
              <w:widowControl w:val="false"/>
              <w:tabs>
                <w:tab w:val="clear" w:pos="720"/>
                <w:tab w:val="left" w:pos="-2340" w:leader="none"/>
                <w:tab w:val="left" w:pos="-720" w:leader="none"/>
              </w:tabs>
              <w:suppressAutoHyphens w:val="true"/>
              <w:spacing w:lineRule="auto" w:line="276" w:before="0" w:after="0"/>
              <w:jc w:val="center"/>
              <w:rPr>
                <w:rFonts w:eastAsia="Times New Roman"/>
                <w:b/>
                <w:b/>
                <w:lang w:val="en-GB" w:eastAsia="en-GB"/>
              </w:rPr>
            </w:pPr>
            <w:r>
              <w:rPr>
                <w:rFonts w:eastAsia="Times New Roman" w:cs="Arial"/>
                <w:b/>
                <w:color w:val="000000"/>
                <w:kern w:val="0"/>
                <w:sz w:val="22"/>
                <w:szCs w:val="22"/>
                <w:lang w:val="en-GB" w:eastAsia="en-GB" w:bidi="ar-SA"/>
              </w:rPr>
              <w:t>Work Experience:</w:t>
            </w:r>
          </w:p>
          <w:p>
            <w:pPr>
              <w:pStyle w:val="Normal"/>
              <w:widowControl w:val="false"/>
              <w:numPr>
                <w:ilvl w:val="0"/>
                <w:numId w:val="31"/>
              </w:numPr>
              <w:suppressAutoHyphens w:val="true"/>
              <w:spacing w:lineRule="auto" w:line="276" w:before="0" w:after="0"/>
              <w:jc w:val="left"/>
              <w:rPr>
                <w:lang w:val="en-GB"/>
              </w:rPr>
            </w:pPr>
            <w:r>
              <w:rPr>
                <w:rFonts w:eastAsia="Calibri" w:cs="Arial"/>
                <w:color w:val="000000"/>
                <w:kern w:val="0"/>
                <w:sz w:val="22"/>
                <w:szCs w:val="22"/>
                <w:lang w:val="en-GB" w:eastAsia="en-US" w:bidi="ar-SA"/>
              </w:rPr>
              <w:t xml:space="preserve">Minimum two  years of relevant professional experience at site. </w:t>
            </w:r>
          </w:p>
          <w:p>
            <w:pPr>
              <w:pStyle w:val="ListParagraph"/>
              <w:widowControl w:val="false"/>
              <w:numPr>
                <w:ilvl w:val="0"/>
                <w:numId w:val="31"/>
              </w:numPr>
              <w:suppressAutoHyphens w:val="true"/>
              <w:spacing w:before="0" w:after="0"/>
              <w:jc w:val="left"/>
              <w:rPr>
                <w:rFonts w:ascii="Arial" w:hAnsi="Arial"/>
              </w:rPr>
            </w:pPr>
            <w:r>
              <w:rPr>
                <w:rFonts w:ascii="Arial" w:hAnsi="Arial"/>
                <w:color w:val="000000"/>
                <w:kern w:val="0"/>
                <w:sz w:val="22"/>
                <w:szCs w:val="22"/>
                <w:lang w:val="en-GB" w:eastAsia="en-US" w:bidi="ar-SA"/>
              </w:rPr>
              <w:t>Experience in works related to safety and health management of complex construction and reconstruction works with multiple contractors  in multiple sites simultaneously is required.</w:t>
            </w:r>
          </w:p>
          <w:p>
            <w:pPr>
              <w:pStyle w:val="ListParagraph"/>
              <w:widowControl w:val="false"/>
              <w:numPr>
                <w:ilvl w:val="0"/>
                <w:numId w:val="31"/>
              </w:numPr>
              <w:suppressAutoHyphens w:val="true"/>
              <w:spacing w:before="0" w:after="0"/>
              <w:jc w:val="left"/>
              <w:rPr>
                <w:rFonts w:ascii="Arial" w:hAnsi="Arial"/>
              </w:rPr>
            </w:pPr>
            <w:r>
              <w:rPr>
                <w:rFonts w:ascii="Arial" w:hAnsi="Arial"/>
                <w:color w:val="000000"/>
                <w:kern w:val="0"/>
                <w:sz w:val="22"/>
                <w:szCs w:val="22"/>
                <w:lang w:val="en-GB" w:eastAsia="en-US" w:bidi="ar-SA"/>
              </w:rPr>
              <w:t xml:space="preserve"> </w:t>
            </w:r>
            <w:r>
              <w:rPr>
                <w:rFonts w:ascii="Arial" w:hAnsi="Arial"/>
                <w:color w:val="000000"/>
                <w:kern w:val="0"/>
                <w:sz w:val="22"/>
                <w:szCs w:val="22"/>
                <w:lang w:val="en-GB" w:eastAsia="en-US" w:bidi="ar-SA"/>
              </w:rPr>
              <w:t>Extensive experience implementing works under complex health and safety plans is essential.</w:t>
            </w:r>
          </w:p>
        </w:tc>
      </w:tr>
    </w:tbl>
    <w:p>
      <w:pPr>
        <w:pStyle w:val="Normal"/>
        <w:spacing w:before="0" w:after="0"/>
        <w:jc w:val="both"/>
        <w:rPr>
          <w:b/>
          <w:b/>
          <w:i/>
          <w:i/>
          <w:highlight w:val="lightGray"/>
        </w:rPr>
      </w:pPr>
      <w:r>
        <w:rPr>
          <w:b/>
          <w:i/>
          <w:highlight w:val="lightGray"/>
        </w:rPr>
      </w:r>
    </w:p>
    <w:p>
      <w:pPr>
        <w:pStyle w:val="Normal"/>
        <w:spacing w:lineRule="auto" w:line="247" w:before="100" w:after="88"/>
        <w:ind w:left="-4" w:hanging="10"/>
        <w:rPr>
          <w:rFonts w:ascii="Arial" w:hAnsi="Arial" w:eastAsia="Arial" w:cs="Arial"/>
          <w:smallCaps/>
          <w:color w:val="000000"/>
          <w:sz w:val="22"/>
          <w:szCs w:val="22"/>
        </w:rPr>
      </w:pPr>
      <w:r>
        <w:rPr>
          <w:b/>
          <w:i/>
        </w:rPr>
        <w:t xml:space="preserve">Pass / Fail </w:t>
      </w:r>
    </w:p>
    <w:p>
      <w:pPr>
        <w:pStyle w:val="Normal"/>
        <w:spacing w:before="0" w:after="0"/>
        <w:jc w:val="both"/>
        <w:rPr>
          <w:b/>
          <w:b/>
          <w:i/>
          <w:i/>
          <w:color w:val="000000"/>
          <w:highlight w:val="lightGray"/>
        </w:rPr>
      </w:pPr>
      <w:r>
        <w:rPr>
          <w:b/>
          <w:i/>
          <w:color w:val="000000"/>
          <w:highlight w:val="lightGray"/>
        </w:rPr>
      </w:r>
    </w:p>
    <w:p>
      <w:pPr>
        <w:pStyle w:val="Heading2"/>
        <w:spacing w:before="360" w:after="88"/>
        <w:ind w:left="-5" w:hanging="0"/>
        <w:rPr>
          <w:b w:val="false"/>
          <w:b w:val="false"/>
          <w:i/>
          <w:i/>
          <w:sz w:val="22"/>
          <w:szCs w:val="22"/>
          <w:u w:val="single"/>
        </w:rPr>
      </w:pPr>
      <w:r>
        <w:rPr>
          <w:i/>
          <w:sz w:val="22"/>
          <w:szCs w:val="22"/>
          <w:u w:val="single"/>
        </w:rPr>
        <w:t xml:space="preserve">Returnable Bid Schedule 6 – Insurances </w:t>
      </w:r>
    </w:p>
    <w:p>
      <w:pPr>
        <w:pStyle w:val="Normal"/>
        <w:spacing w:lineRule="auto" w:line="235" w:before="100" w:after="3"/>
        <w:ind w:left="-5" w:right="2" w:hanging="10"/>
        <w:jc w:val="both"/>
        <w:rPr>
          <w:i/>
          <w:i/>
        </w:rPr>
      </w:pPr>
      <w:r>
        <w:rPr>
          <w:i/>
        </w:rPr>
        <w:t>Bidders are to provide confirmation that they will put in place the required insurance policies indicated in the contract details of insurance policies required under the Contract if selected for follows:</w:t>
      </w:r>
    </w:p>
    <w:p>
      <w:pPr>
        <w:pStyle w:val="ListParagraph"/>
        <w:numPr>
          <w:ilvl w:val="0"/>
          <w:numId w:val="35"/>
        </w:numPr>
        <w:spacing w:lineRule="auto" w:line="235" w:before="0" w:after="3"/>
        <w:ind w:left="345" w:right="2" w:hanging="360"/>
        <w:rPr>
          <w:i/>
          <w:i/>
        </w:rPr>
      </w:pPr>
      <w:r>
        <w:rPr>
          <w:i/>
        </w:rPr>
        <w:t>Construction All Risks Insurance/Third Party Liability Insurance</w:t>
      </w:r>
    </w:p>
    <w:p>
      <w:pPr>
        <w:pStyle w:val="ListParagraph"/>
        <w:numPr>
          <w:ilvl w:val="0"/>
          <w:numId w:val="35"/>
        </w:numPr>
        <w:spacing w:lineRule="auto" w:line="235" w:before="0" w:after="3"/>
        <w:ind w:left="345" w:right="2" w:hanging="360"/>
        <w:rPr>
          <w:rFonts w:ascii="Arial" w:hAnsi="Arial" w:eastAsia="Arial" w:cs="Arial"/>
          <w:smallCaps/>
          <w:color w:val="000000"/>
          <w:sz w:val="22"/>
          <w:szCs w:val="22"/>
        </w:rPr>
      </w:pPr>
      <w:r>
        <w:rPr>
          <w:i/>
        </w:rPr>
        <w:t>Workers’ Compensation/Employer’s Liability Insurance</w:t>
      </w:r>
    </w:p>
    <w:p>
      <w:pPr>
        <w:pStyle w:val="Heading3"/>
        <w:ind w:left="-4" w:hanging="0"/>
        <w:rPr>
          <w:rFonts w:ascii="Arial" w:hAnsi="Arial" w:eastAsia="Arial" w:cs="Arial"/>
          <w:i/>
          <w:i/>
          <w:sz w:val="22"/>
          <w:szCs w:val="22"/>
        </w:rPr>
      </w:pPr>
      <w:r>
        <w:rPr>
          <w:rFonts w:eastAsia="Arial" w:cs="Arial" w:ascii="Arial" w:hAnsi="Arial"/>
          <w:i/>
          <w:sz w:val="22"/>
          <w:szCs w:val="22"/>
        </w:rPr>
        <w:t xml:space="preserve">Pass / Fail </w:t>
      </w:r>
    </w:p>
    <w:p>
      <w:pPr>
        <w:pStyle w:val="Normal"/>
        <w:spacing w:before="0" w:after="0"/>
        <w:jc w:val="both"/>
        <w:rPr>
          <w:b/>
          <w:b/>
          <w:i/>
          <w:i/>
          <w:color w:val="000000"/>
          <w:highlight w:val="lightGray"/>
        </w:rPr>
      </w:pPr>
      <w:r>
        <w:rPr>
          <w:b/>
          <w:i/>
          <w:color w:val="000000"/>
          <w:highlight w:val="lightGray"/>
        </w:rPr>
      </w:r>
    </w:p>
    <w:p>
      <w:pPr>
        <w:pStyle w:val="Normal"/>
        <w:spacing w:before="0" w:after="0"/>
        <w:jc w:val="both"/>
        <w:rPr>
          <w:b/>
          <w:b/>
          <w:i/>
          <w:i/>
          <w:color w:val="000000"/>
          <w:highlight w:val="lightGray"/>
          <w:u w:val="single"/>
        </w:rPr>
      </w:pPr>
      <w:r>
        <w:rPr>
          <w:b/>
          <w:i/>
          <w:color w:val="000000"/>
          <w:highlight w:val="lightGray"/>
          <w:u w:val="single"/>
        </w:rPr>
      </w:r>
    </w:p>
    <w:p>
      <w:pPr>
        <w:pStyle w:val="Normal"/>
        <w:spacing w:before="0" w:after="0"/>
        <w:jc w:val="both"/>
        <w:rPr>
          <w:b/>
          <w:b/>
          <w:i/>
          <w:i/>
          <w:color w:val="000000"/>
        </w:rPr>
      </w:pPr>
      <w:r>
        <w:rPr>
          <w:b/>
          <w:i/>
          <w:color w:val="000000"/>
          <w:u w:val="single"/>
        </w:rPr>
        <w:t>Returnable Bid Schedule 7 – Capacity Experience, Work in Hand and Completed</w:t>
      </w:r>
      <w:r>
        <w:rPr>
          <w:b/>
          <w:i/>
          <w:color w:val="000000"/>
        </w:rPr>
        <w:t>.</w:t>
      </w:r>
    </w:p>
    <w:p>
      <w:pPr>
        <w:pStyle w:val="Heading4"/>
        <w:rPr>
          <w:rFonts w:ascii="Arial" w:hAnsi="Arial" w:cs="Arial"/>
          <w:sz w:val="20"/>
          <w:szCs w:val="20"/>
        </w:rPr>
      </w:pPr>
      <w:r>
        <w:rPr>
          <w:rFonts w:eastAsia="Arial" w:cs="Arial" w:ascii="Arial" w:hAnsi="Arial"/>
          <w:i/>
          <w:sz w:val="20"/>
          <w:szCs w:val="20"/>
          <w:u w:val="none" w:color="000000"/>
        </w:rPr>
        <w:t xml:space="preserve">a. </w:t>
      </w:r>
      <w:r>
        <w:rPr>
          <w:rFonts w:cs="Arial" w:ascii="Arial" w:hAnsi="Arial"/>
          <w:sz w:val="20"/>
          <w:szCs w:val="20"/>
        </w:rPr>
        <w:t>Similar Projects during the last 3 years</w:t>
      </w:r>
      <w:r>
        <w:rPr>
          <w:rFonts w:eastAsia="Arial" w:cs="Arial" w:ascii="Arial" w:hAnsi="Arial"/>
          <w:i/>
          <w:sz w:val="20"/>
          <w:szCs w:val="20"/>
          <w:u w:val="none" w:color="000000"/>
        </w:rPr>
        <w:t xml:space="preserve"> </w:t>
      </w:r>
    </w:p>
    <w:p>
      <w:pPr>
        <w:pStyle w:val="Normal"/>
        <w:spacing w:lineRule="auto" w:line="235"/>
        <w:ind w:left="-5" w:right="2" w:hanging="10"/>
        <w:jc w:val="both"/>
        <w:rPr>
          <w:rFonts w:ascii="Arial" w:hAnsi="Arial" w:eastAsia="Arial" w:cs="Arial"/>
          <w:smallCaps/>
          <w:color w:val="000000"/>
          <w:sz w:val="22"/>
          <w:szCs w:val="22"/>
        </w:rPr>
      </w:pPr>
      <w:r>
        <w:rPr>
          <w:i/>
        </w:rPr>
        <w:t xml:space="preserve">Details of experience and past performance of the Bidder on similar renovation/ construction works within the past three (3) years. The Bidder must demonstrate through past projects its ability to produce a high-quality work. Letters of reference and/or Completion Certificates from previous employers are required. </w:t>
      </w:r>
    </w:p>
    <w:p>
      <w:pPr>
        <w:pStyle w:val="Normal"/>
        <w:spacing w:lineRule="auto" w:line="271" w:before="100" w:after="1"/>
        <w:ind w:left="-5" w:right="-2" w:hanging="10"/>
        <w:jc w:val="both"/>
        <w:rPr>
          <w:b/>
          <w:b/>
          <w:i/>
          <w:i/>
        </w:rPr>
      </w:pPr>
      <w:r>
        <w:rPr>
          <w:b/>
          <w:i/>
        </w:rPr>
        <w:t xml:space="preserve">In order to pass this criteria, a bidder shall </w:t>
      </w:r>
      <w:r>
        <w:rPr>
          <w:b/>
          <w:i/>
          <w:lang w:val="en-US"/>
        </w:rPr>
        <w:t>have the</w:t>
      </w:r>
      <w:r>
        <w:rPr>
          <w:b/>
          <w:i/>
        </w:rPr>
        <w:t xml:space="preserve"> experience of minimum of </w:t>
      </w:r>
      <w:r>
        <w:rPr>
          <w:b/>
          <w:i/>
          <w:lang w:val="en-US"/>
        </w:rPr>
        <w:t>o</w:t>
      </w:r>
      <w:r>
        <w:rPr>
          <w:b/>
          <w:i/>
        </w:rPr>
        <w:t>ne  similar nature project of value not less than the quoted value, within the last 3 years.</w:t>
      </w:r>
    </w:p>
    <w:p>
      <w:pPr>
        <w:pStyle w:val="Normal"/>
        <w:spacing w:lineRule="auto" w:line="271" w:before="100" w:after="1"/>
        <w:ind w:left="-5" w:right="-2" w:hanging="10"/>
        <w:jc w:val="both"/>
        <w:rPr>
          <w:rFonts w:ascii="Arial" w:hAnsi="Arial" w:eastAsia="Arial" w:cs="Arial"/>
          <w:smallCaps/>
          <w:color w:val="000000"/>
          <w:sz w:val="22"/>
          <w:szCs w:val="22"/>
        </w:rPr>
      </w:pPr>
      <w:r>
        <w:rPr>
          <w:b/>
          <w:i/>
        </w:rPr>
        <w:t xml:space="preserve">Pass / Fail </w:t>
      </w:r>
    </w:p>
    <w:p>
      <w:pPr>
        <w:pStyle w:val="Heading4"/>
        <w:ind w:left="-5" w:hanging="0"/>
        <w:rPr>
          <w:rFonts w:ascii="Arial" w:hAnsi="Arial" w:eastAsia="Arial" w:cs="Arial"/>
          <w:i/>
          <w:i/>
          <w:sz w:val="20"/>
          <w:szCs w:val="20"/>
          <w:u w:val="none" w:color="000000"/>
        </w:rPr>
      </w:pPr>
      <w:r>
        <w:rPr>
          <w:rFonts w:eastAsia="Arial" w:cs="Arial" w:ascii="Arial" w:hAnsi="Arial"/>
          <w:i/>
          <w:sz w:val="20"/>
          <w:szCs w:val="20"/>
          <w:u w:val="none" w:color="000000"/>
        </w:rPr>
        <w:t xml:space="preserve"> </w:t>
      </w:r>
      <w:r>
        <w:rPr>
          <w:rFonts w:eastAsia="Arial" w:cs="Arial" w:ascii="Arial" w:hAnsi="Arial"/>
          <w:i/>
          <w:sz w:val="20"/>
          <w:szCs w:val="20"/>
          <w:u w:val="none" w:color="000000"/>
        </w:rPr>
        <w:t xml:space="preserve">b. All current projects underway or committed to start </w:t>
      </w:r>
    </w:p>
    <w:p>
      <w:pPr>
        <w:pStyle w:val="Normal"/>
        <w:spacing w:lineRule="auto" w:line="271" w:before="100" w:after="1"/>
        <w:ind w:left="-5" w:right="-2" w:hanging="10"/>
        <w:jc w:val="both"/>
        <w:rPr>
          <w:rFonts w:ascii="Arial" w:hAnsi="Arial" w:eastAsia="Arial" w:cs="Arial"/>
          <w:smallCaps/>
          <w:color w:val="000000"/>
          <w:sz w:val="22"/>
          <w:szCs w:val="22"/>
        </w:rPr>
      </w:pPr>
      <w:r>
        <w:rPr/>
        <w:t xml:space="preserve">Capacity to undertake this contract within current workload: Cumulative work capability of the bidder shall be at least </w:t>
      </w:r>
      <w:r>
        <w:rPr>
          <w:rFonts w:eastAsia="Arial" w:cs="Arial"/>
          <w:color w:val="auto"/>
          <w:kern w:val="0"/>
          <w:sz w:val="22"/>
          <w:szCs w:val="22"/>
          <w:lang w:val="en-US" w:eastAsia="en-US" w:bidi="ar-SA"/>
        </w:rPr>
        <w:t>equivalent to the offered bid price</w:t>
      </w:r>
      <w:r>
        <w:rPr>
          <w:shd w:fill="FFFFFF" w:val="clear"/>
        </w:rPr>
        <w:t>.</w:t>
      </w:r>
      <w:r>
        <w:rPr/>
        <w:t xml:space="preserve"> The cumulative work capability is calculated as follows: (Cumulative work capability) = (Highest annual turnover in the last 3 years) – (Amount of works in hand). Bidder must submit supporting documents showing all ongoing contracts including respective project’s name, location, client (with email and phone number), and the contract amount, as well as the amount or percentage of the completion for each contract. If the project is nearly in completion (90% to 100%), it will not be considered as a project in hand. </w:t>
      </w:r>
    </w:p>
    <w:p>
      <w:pPr>
        <w:pStyle w:val="Normal"/>
        <w:spacing w:lineRule="auto" w:line="271" w:before="100" w:after="1"/>
        <w:ind w:left="-5" w:right="-2" w:hanging="10"/>
        <w:jc w:val="both"/>
        <w:rPr>
          <w:rFonts w:ascii="Arial" w:hAnsi="Arial" w:eastAsia="Arial" w:cs="Arial"/>
          <w:smallCaps/>
          <w:color w:val="000000"/>
          <w:sz w:val="22"/>
          <w:szCs w:val="22"/>
        </w:rPr>
      </w:pPr>
      <w:r>
        <w:rPr>
          <w:b/>
          <w:i/>
        </w:rPr>
        <w:t xml:space="preserve">Pass /Fail </w:t>
      </w:r>
    </w:p>
    <w:p>
      <w:pPr>
        <w:pStyle w:val="Normal"/>
        <w:spacing w:before="100" w:after="0"/>
        <w:ind w:left="406" w:hanging="0"/>
        <w:rPr>
          <w:b/>
          <w:b/>
          <w:bCs/>
          <w:i/>
          <w:i/>
          <w:sz w:val="20"/>
          <w:szCs w:val="20"/>
          <w:u w:val="none" w:color="000000"/>
        </w:rPr>
      </w:pPr>
      <w:r>
        <w:rPr>
          <w:b/>
          <w:bCs/>
          <w:i/>
          <w:sz w:val="20"/>
          <w:szCs w:val="20"/>
          <w:u w:val="none" w:color="000000"/>
        </w:rPr>
      </w:r>
    </w:p>
    <w:p>
      <w:pPr>
        <w:pStyle w:val="Heading5"/>
        <w:ind w:left="-5" w:hanging="0"/>
        <w:rPr>
          <w:b w:val="false"/>
          <w:b w:val="false"/>
          <w:bCs/>
          <w:i/>
          <w:i/>
          <w:sz w:val="20"/>
          <w:szCs w:val="20"/>
          <w:u w:val="none" w:color="000000"/>
        </w:rPr>
      </w:pPr>
      <w:r>
        <w:rPr>
          <w:bCs/>
          <w:i/>
          <w:sz w:val="20"/>
          <w:szCs w:val="20"/>
          <w:u w:val="none" w:color="000000"/>
          <w:lang w:val="ru-RU"/>
        </w:rPr>
        <w:t>с</w:t>
      </w:r>
      <w:r>
        <w:rPr>
          <w:bCs/>
          <w:i/>
          <w:sz w:val="20"/>
          <w:szCs w:val="20"/>
          <w:u w:val="none" w:color="000000"/>
        </w:rPr>
        <w:t xml:space="preserve">. Financial Capacity  </w:t>
      </w:r>
    </w:p>
    <w:p>
      <w:pPr>
        <w:pStyle w:val="Normal"/>
        <w:rPr>
          <w:i/>
          <w:i/>
        </w:rPr>
      </w:pPr>
      <w:r>
        <w:rPr>
          <w:i/>
        </w:rPr>
        <w:t xml:space="preserve">Bidder must submit certified copies (signed by authorized person and stamped, if stamp is used by company) of following financial statements: </w:t>
      </w:r>
    </w:p>
    <w:p>
      <w:pPr>
        <w:pStyle w:val="ListParagraph"/>
        <w:numPr>
          <w:ilvl w:val="0"/>
          <w:numId w:val="32"/>
        </w:numPr>
        <w:ind w:left="360" w:hanging="360"/>
        <w:rPr>
          <w:i/>
          <w:i/>
        </w:rPr>
      </w:pPr>
      <w:r>
        <w:rPr>
          <w:rFonts w:eastAsia="Calibri" w:ascii="Arial" w:hAnsi="Arial"/>
          <w:i/>
        </w:rPr>
        <w:t xml:space="preserve">Income Statement (Form2 for legal entities registered in Ukraine, declaration of income statements for private entrepreneurs or equivalent for foreign companies) </w:t>
      </w:r>
    </w:p>
    <w:p>
      <w:pPr>
        <w:pStyle w:val="ListParagraph"/>
        <w:numPr>
          <w:ilvl w:val="0"/>
          <w:numId w:val="32"/>
        </w:numPr>
        <w:ind w:left="360" w:hanging="360"/>
        <w:rPr>
          <w:i/>
          <w:i/>
        </w:rPr>
      </w:pPr>
      <w:r>
        <w:rPr>
          <w:rFonts w:eastAsia="Calibri" w:ascii="Arial" w:hAnsi="Arial"/>
          <w:i/>
        </w:rPr>
        <w:t>Balance sheet (Form1 for legal entities registered in Ukraine or equivalent for foreign companies) for the last three years with accompanying audit report (if available). These financial statements should be registered at respective state authorities and has marks/cheques confirming this.</w:t>
      </w:r>
    </w:p>
    <w:p>
      <w:pPr>
        <w:pStyle w:val="Normal"/>
        <w:spacing w:before="0" w:after="0"/>
        <w:jc w:val="both"/>
        <w:rPr>
          <w:b/>
          <w:b/>
          <w:i/>
          <w:i/>
        </w:rPr>
      </w:pPr>
      <w:r>
        <w:rPr>
          <w:i/>
        </w:rPr>
        <w:t xml:space="preserve">The requirement for the </w:t>
      </w:r>
      <w:bookmarkStart w:id="48" w:name="OLE_LINK2"/>
      <w:bookmarkStart w:id="49" w:name="OLE_LINK1"/>
      <w:r>
        <w:rPr>
          <w:b/>
          <w:bCs/>
          <w:i/>
        </w:rPr>
        <w:t xml:space="preserve">cumulative total volume of business </w:t>
      </w:r>
      <w:bookmarkEnd w:id="48"/>
      <w:bookmarkEnd w:id="49"/>
      <w:r>
        <w:rPr>
          <w:b/>
          <w:bCs/>
          <w:i/>
        </w:rPr>
        <w:t>(turnover)</w:t>
      </w:r>
      <w:r>
        <w:rPr>
          <w:i/>
        </w:rPr>
        <w:t xml:space="preserve"> for the past three years will be calculated as follows:</w:t>
      </w:r>
      <w:r>
        <w:rPr>
          <w:lang w:val="en-GB"/>
        </w:rPr>
        <w:t xml:space="preserve"> </w:t>
      </w:r>
      <w:r>
        <w:rPr>
          <w:b/>
          <w:i/>
        </w:rPr>
        <w:t>above or equal to</w:t>
      </w:r>
      <w:r>
        <w:rPr>
          <w:b/>
          <w:i/>
          <w:shd w:fill="FFFFFF" w:val="clear"/>
        </w:rPr>
        <w:t xml:space="preserve"> 1</w:t>
      </w:r>
      <w:r>
        <w:rPr>
          <w:b/>
          <w:i/>
          <w:shd w:fill="FFFFFF" w:val="clear"/>
          <w:lang w:val="en-US"/>
        </w:rPr>
        <w:t>5</w:t>
      </w:r>
      <w:r>
        <w:rPr>
          <w:b/>
          <w:i/>
          <w:shd w:fill="FFFFFF" w:val="clear"/>
        </w:rPr>
        <w:t xml:space="preserve">0,000.00 </w:t>
      </w:r>
      <w:r>
        <w:rPr>
          <w:b/>
          <w:i/>
        </w:rPr>
        <w:t>USD for last three years.</w:t>
      </w:r>
    </w:p>
    <w:p>
      <w:pPr>
        <w:pStyle w:val="Normal"/>
        <w:spacing w:before="0" w:after="0"/>
        <w:jc w:val="both"/>
        <w:rPr>
          <w:rFonts w:ascii="Arial" w:hAnsi="Arial" w:eastAsia="Arial" w:cs="Arial"/>
          <w:smallCaps/>
          <w:color w:val="000000"/>
          <w:sz w:val="22"/>
          <w:szCs w:val="22"/>
        </w:rPr>
      </w:pPr>
      <w:r>
        <w:rPr/>
        <w:t xml:space="preserve">Should the currency of the financial statement be in a currency other than USD, the exchange rate used to convert must be based on the UN operational rate of exchange on the 31 Dec of the relevant year.  Exchange rates are available from http://treasury.un.org/  </w:t>
      </w:r>
    </w:p>
    <w:p>
      <w:pPr>
        <w:pStyle w:val="Normal"/>
        <w:spacing w:before="0" w:after="0"/>
        <w:jc w:val="both"/>
        <w:rPr>
          <w:b/>
          <w:b/>
          <w:i/>
          <w:i/>
          <w:color w:val="000000"/>
        </w:rPr>
      </w:pPr>
      <w:r>
        <w:rPr>
          <w:b/>
          <w:i/>
          <w:color w:val="000000"/>
        </w:rPr>
      </w:r>
    </w:p>
    <w:p>
      <w:pPr>
        <w:pStyle w:val="Normal"/>
        <w:spacing w:before="0" w:after="0"/>
        <w:jc w:val="both"/>
        <w:rPr>
          <w:b/>
          <w:b/>
          <w:i/>
          <w:i/>
          <w:color w:val="000000"/>
        </w:rPr>
      </w:pPr>
      <w:r>
        <w:rPr>
          <w:b/>
          <w:i/>
          <w:color w:val="000000"/>
        </w:rPr>
      </w:r>
    </w:p>
    <w:p>
      <w:pPr>
        <w:pStyle w:val="Normal"/>
        <w:spacing w:before="0" w:after="0"/>
        <w:jc w:val="both"/>
        <w:rPr>
          <w:b/>
          <w:b/>
          <w:i/>
          <w:i/>
          <w:color w:val="000000"/>
          <w:u w:val="single"/>
        </w:rPr>
      </w:pPr>
      <w:r>
        <w:rPr>
          <w:b/>
          <w:i/>
          <w:color w:val="000000"/>
          <w:u w:val="single"/>
        </w:rPr>
        <w:t>Returnable Bid Schedule 8 – Declaration</w:t>
      </w:r>
    </w:p>
    <w:p>
      <w:pPr>
        <w:pStyle w:val="Normal"/>
        <w:spacing w:before="0" w:after="0"/>
        <w:jc w:val="both"/>
        <w:rPr>
          <w:b/>
          <w:b/>
          <w:i/>
          <w:i/>
          <w:color w:val="000000"/>
          <w:u w:val="single"/>
        </w:rPr>
      </w:pPr>
      <w:r>
        <w:rPr>
          <w:b/>
          <w:i/>
          <w:color w:val="000000"/>
          <w:u w:val="single"/>
        </w:rPr>
      </w:r>
    </w:p>
    <w:p>
      <w:pPr>
        <w:pStyle w:val="Normal"/>
        <w:tabs>
          <w:tab w:val="clear" w:pos="720"/>
          <w:tab w:val="center" w:pos="5040" w:leader="none"/>
          <w:tab w:val="center" w:pos="5760" w:leader="none"/>
          <w:tab w:val="center" w:pos="6480" w:leader="none"/>
          <w:tab w:val="center" w:pos="7200" w:leader="none"/>
        </w:tabs>
        <w:spacing w:lineRule="auto" w:line="247" w:before="100" w:after="88"/>
        <w:ind w:left="-15" w:hanging="0"/>
        <w:rPr>
          <w:i/>
          <w:i/>
        </w:rPr>
      </w:pPr>
      <w:r>
        <w:rPr>
          <w:i/>
        </w:rPr>
        <w:t xml:space="preserve">The bidder’s declaration is correctly filled out. </w:t>
        <w:tab/>
      </w:r>
    </w:p>
    <w:p>
      <w:pPr>
        <w:pStyle w:val="Normal"/>
        <w:spacing w:lineRule="auto" w:line="247" w:before="100" w:after="5"/>
        <w:ind w:left="-4" w:hanging="10"/>
        <w:rPr>
          <w:b/>
          <w:b/>
          <w:i/>
          <w:i/>
        </w:rPr>
      </w:pPr>
      <w:r>
        <w:rPr>
          <w:b/>
          <w:i/>
        </w:rPr>
        <w:t xml:space="preserve">Pass / Fail </w:t>
      </w:r>
    </w:p>
    <w:p>
      <w:pPr>
        <w:pStyle w:val="Normal"/>
        <w:spacing w:before="0" w:after="0"/>
        <w:jc w:val="both"/>
        <w:rPr>
          <w:b/>
          <w:b/>
          <w:i/>
          <w:i/>
          <w:color w:val="000000"/>
          <w:highlight w:val="lightGray"/>
          <w:u w:val="single"/>
        </w:rPr>
      </w:pPr>
      <w:r>
        <w:rPr>
          <w:b/>
          <w:i/>
          <w:color w:val="000000"/>
          <w:highlight w:val="lightGray"/>
          <w:u w:val="single"/>
        </w:rPr>
      </w:r>
    </w:p>
    <w:p>
      <w:pPr>
        <w:pStyle w:val="Normal"/>
        <w:spacing w:before="0" w:after="0"/>
        <w:jc w:val="both"/>
        <w:rPr>
          <w:b/>
          <w:b/>
          <w:i/>
          <w:i/>
          <w:color w:val="000000"/>
          <w:highlight w:val="lightGray"/>
          <w:u w:val="single"/>
        </w:rPr>
      </w:pPr>
      <w:r>
        <w:rPr>
          <w:b/>
          <w:i/>
          <w:color w:val="000000"/>
          <w:highlight w:val="lightGray"/>
          <w:u w:val="single"/>
        </w:rPr>
      </w:r>
    </w:p>
    <w:p>
      <w:pPr>
        <w:pStyle w:val="Normal"/>
        <w:spacing w:before="0" w:after="0"/>
        <w:jc w:val="both"/>
        <w:rPr>
          <w:b/>
          <w:b/>
          <w:i/>
          <w:i/>
          <w:color w:val="000000"/>
          <w:u w:val="single"/>
        </w:rPr>
      </w:pPr>
      <w:r>
        <w:rPr>
          <w:b/>
          <w:i/>
          <w:color w:val="000000"/>
          <w:u w:val="single"/>
        </w:rPr>
        <w:t>Returnable Bid Schedule 9 – Conflict of Interest</w:t>
      </w:r>
    </w:p>
    <w:p>
      <w:pPr>
        <w:pStyle w:val="Normal"/>
        <w:tabs>
          <w:tab w:val="clear" w:pos="720"/>
          <w:tab w:val="center" w:pos="5040" w:leader="none"/>
          <w:tab w:val="center" w:pos="5760" w:leader="none"/>
          <w:tab w:val="center" w:pos="6480" w:leader="none"/>
          <w:tab w:val="center" w:pos="7200" w:leader="none"/>
        </w:tabs>
        <w:spacing w:lineRule="auto" w:line="247" w:before="100" w:after="88"/>
        <w:ind w:left="-15" w:hanging="0"/>
        <w:rPr>
          <w:i/>
          <w:i/>
        </w:rPr>
      </w:pPr>
      <w:r>
        <w:rPr>
          <w:i/>
        </w:rPr>
        <w:t xml:space="preserve">The bidder’s declaration is correctly filled out. </w:t>
        <w:tab/>
        <w:tab/>
        <w:t xml:space="preserve"> </w:t>
        <w:tab/>
        <w:t xml:space="preserve"> </w:t>
        <w:tab/>
        <w:t xml:space="preserve"> </w:t>
      </w:r>
    </w:p>
    <w:p>
      <w:pPr>
        <w:pStyle w:val="Normal"/>
        <w:spacing w:lineRule="auto" w:line="247" w:before="100" w:after="5"/>
        <w:ind w:left="-4" w:hanging="10"/>
        <w:rPr>
          <w:b/>
          <w:b/>
          <w:i/>
          <w:i/>
        </w:rPr>
      </w:pPr>
      <w:r>
        <w:rPr>
          <w:b/>
          <w:i/>
        </w:rPr>
        <w:t xml:space="preserve">Pass / Fail </w:t>
      </w:r>
    </w:p>
    <w:p>
      <w:pPr>
        <w:pStyle w:val="Normal"/>
        <w:spacing w:before="0" w:after="0"/>
        <w:jc w:val="both"/>
        <w:rPr>
          <w:b/>
          <w:b/>
          <w:i/>
          <w:i/>
          <w:color w:val="000000"/>
          <w:highlight w:val="lightGray"/>
          <w:u w:val="single"/>
        </w:rPr>
      </w:pPr>
      <w:r>
        <w:rPr>
          <w:b/>
          <w:i/>
          <w:color w:val="000000"/>
          <w:highlight w:val="lightGray"/>
          <w:u w:val="single"/>
        </w:rPr>
      </w:r>
    </w:p>
    <w:p>
      <w:pPr>
        <w:pStyle w:val="Normal"/>
        <w:spacing w:before="0" w:after="0"/>
        <w:jc w:val="both"/>
        <w:rPr>
          <w:b/>
          <w:b/>
          <w:i/>
          <w:i/>
          <w:color w:val="000000"/>
          <w:highlight w:val="lightGray"/>
          <w:u w:val="single"/>
        </w:rPr>
      </w:pPr>
      <w:r>
        <w:rPr>
          <w:b/>
          <w:i/>
          <w:color w:val="000000"/>
          <w:highlight w:val="lightGray"/>
          <w:u w:val="single"/>
        </w:rPr>
      </w:r>
    </w:p>
    <w:p>
      <w:pPr>
        <w:pStyle w:val="Normal"/>
        <w:spacing w:before="0" w:after="0"/>
        <w:jc w:val="both"/>
        <w:rPr>
          <w:b/>
          <w:b/>
          <w:i/>
          <w:i/>
          <w:color w:val="000000"/>
          <w:u w:val="single"/>
        </w:rPr>
      </w:pPr>
      <w:r>
        <w:rPr>
          <w:b/>
          <w:i/>
          <w:color w:val="000000"/>
          <w:u w:val="single"/>
        </w:rPr>
        <w:t>Returnable Bid Schedule 1</w:t>
      </w:r>
      <w:r>
        <w:rPr>
          <w:b/>
          <w:i/>
          <w:color w:val="000000"/>
          <w:u w:val="single"/>
          <w:lang w:val="en-US"/>
        </w:rPr>
        <w:t>0</w:t>
      </w:r>
      <w:r>
        <w:rPr>
          <w:b/>
          <w:i/>
          <w:color w:val="000000"/>
          <w:u w:val="single"/>
        </w:rPr>
        <w:t xml:space="preserve"> – Addenda to ITB</w:t>
      </w:r>
    </w:p>
    <w:p>
      <w:pPr>
        <w:pStyle w:val="Normal"/>
        <w:tabs>
          <w:tab w:val="clear" w:pos="720"/>
          <w:tab w:val="center" w:pos="4320" w:leader="none"/>
          <w:tab w:val="center" w:pos="5040" w:leader="none"/>
          <w:tab w:val="center" w:pos="5760" w:leader="none"/>
        </w:tabs>
        <w:spacing w:lineRule="auto" w:line="247" w:before="100" w:after="88"/>
        <w:ind w:left="-15" w:hanging="0"/>
        <w:rPr>
          <w:rFonts w:ascii="Arial" w:hAnsi="Arial" w:eastAsia="Arial" w:cs="Arial"/>
          <w:smallCaps/>
          <w:color w:val="000000"/>
          <w:sz w:val="22"/>
          <w:szCs w:val="22"/>
        </w:rPr>
      </w:pPr>
      <w:r>
        <w:rPr>
          <w:i/>
        </w:rPr>
        <w:t xml:space="preserve">The bidder’s filled out this schedule.  </w:t>
        <w:tab/>
        <w:t xml:space="preserve"> </w:t>
        <w:tab/>
        <w:t xml:space="preserve"> </w:t>
        <w:tab/>
        <w:t xml:space="preserve"> </w:t>
      </w:r>
    </w:p>
    <w:p>
      <w:pPr>
        <w:sectPr>
          <w:headerReference w:type="default" r:id="rId19"/>
          <w:footerReference w:type="default" r:id="rId20"/>
          <w:type w:val="nextPage"/>
          <w:pgSz w:w="11906" w:h="16838"/>
          <w:pgMar w:left="1440" w:right="1440" w:header="432" w:top="1440" w:footer="389" w:bottom="1440" w:gutter="0"/>
          <w:pgNumType w:fmt="decimal"/>
          <w:formProt w:val="false"/>
          <w:textDirection w:val="lrTb"/>
          <w:docGrid w:type="default" w:linePitch="100" w:charSpace="4096"/>
        </w:sectPr>
        <w:pStyle w:val="Normal"/>
        <w:spacing w:lineRule="auto" w:line="247" w:before="100" w:after="5"/>
        <w:ind w:left="-4" w:hanging="10"/>
        <w:rPr>
          <w:b/>
          <w:b/>
          <w:i/>
          <w:i/>
        </w:rPr>
      </w:pPr>
      <w:r>
        <w:rPr>
          <w:b/>
          <w:i/>
        </w:rPr>
        <w:t xml:space="preserve">Pass / Fail </w:t>
      </w:r>
    </w:p>
    <w:p>
      <w:pPr>
        <w:pStyle w:val="Normal"/>
        <w:spacing w:before="0" w:after="0"/>
        <w:jc w:val="center"/>
        <w:rPr>
          <w:b/>
          <w:b/>
          <w:smallCaps/>
          <w:color w:val="000000"/>
        </w:rPr>
      </w:pPr>
      <w:r>
        <w:rPr>
          <w:b/>
          <w:smallCaps/>
          <w:color w:val="000000"/>
        </w:rPr>
        <w:t>SECTION IV</w:t>
      </w:r>
    </w:p>
    <w:p>
      <w:pPr>
        <w:pStyle w:val="Normal"/>
        <w:spacing w:before="0" w:after="0"/>
        <w:jc w:val="center"/>
        <w:rPr>
          <w:b/>
          <w:b/>
          <w:smallCaps/>
          <w:color w:val="000000"/>
        </w:rPr>
      </w:pPr>
      <w:r>
        <w:rPr>
          <w:b/>
          <w:smallCaps/>
          <w:color w:val="000000"/>
        </w:rPr>
        <w:t>RETURNABLE BID SCHEDULES</w:t>
      </w:r>
    </w:p>
    <w:p>
      <w:pPr>
        <w:pStyle w:val="Normal"/>
        <w:spacing w:before="0" w:after="0"/>
        <w:jc w:val="center"/>
        <w:rPr>
          <w:b/>
          <w:b/>
          <w:color w:val="000000"/>
        </w:rPr>
      </w:pPr>
      <w:r>
        <w:rPr>
          <w:b/>
          <w:color w:val="000000"/>
        </w:rPr>
      </w:r>
    </w:p>
    <w:p>
      <w:pPr>
        <w:pStyle w:val="Normal"/>
        <w:spacing w:before="0" w:after="0"/>
        <w:jc w:val="both"/>
        <w:rPr>
          <w:i/>
          <w:i/>
          <w:color w:val="000000"/>
        </w:rPr>
      </w:pPr>
      <w:r>
        <w:rPr>
          <w:b/>
          <w:i/>
          <w:color w:val="000000"/>
          <w:highlight w:val="cyan"/>
        </w:rPr>
        <w:t>[Note to Bidders:</w:t>
      </w:r>
      <w:r>
        <w:rPr>
          <w:color w:val="000000"/>
          <w:highlight w:val="cyan"/>
        </w:rPr>
        <w:t xml:space="preserve"> </w:t>
      </w:r>
      <w:r>
        <w:rPr>
          <w:b/>
          <w:i/>
          <w:color w:val="000000"/>
          <w:highlight w:val="cyan"/>
        </w:rPr>
        <w:t>Instructions to complete each Returnable Bid Schedule are highlighted in blue in each schedule.  Please complete the Returnable Bid Schedules as instructed</w:t>
      </w:r>
      <w:r>
        <w:rPr>
          <w:color w:val="000000"/>
          <w:highlight w:val="cyan"/>
        </w:rPr>
        <w:t>]</w:t>
      </w:r>
    </w:p>
    <w:p>
      <w:pPr>
        <w:pStyle w:val="Normal"/>
        <w:spacing w:before="0" w:after="0"/>
        <w:ind w:hanging="720"/>
        <w:jc w:val="both"/>
        <w:rPr>
          <w:color w:val="000000"/>
        </w:rPr>
      </w:pPr>
      <w:r>
        <w:rPr>
          <w:color w:val="000000"/>
        </w:rPr>
      </w:r>
      <w:r>
        <w:br w:type="page"/>
      </w:r>
    </w:p>
    <w:p>
      <w:pPr>
        <w:pStyle w:val="Normal"/>
        <w:spacing w:before="0" w:after="0"/>
        <w:jc w:val="center"/>
        <w:rPr>
          <w:b/>
          <w:b/>
          <w:smallCaps/>
          <w:color w:val="000000"/>
        </w:rPr>
      </w:pPr>
      <w:r>
        <w:rPr>
          <w:b/>
          <w:smallCaps/>
          <w:color w:val="000000"/>
        </w:rPr>
        <w:t>Returnable Bid Schedule 1</w:t>
      </w:r>
    </w:p>
    <w:p>
      <w:pPr>
        <w:pStyle w:val="Normal"/>
        <w:spacing w:before="0" w:after="0"/>
        <w:jc w:val="center"/>
        <w:rPr>
          <w:b/>
          <w:b/>
          <w:smallCaps/>
          <w:color w:val="000000"/>
        </w:rPr>
      </w:pPr>
      <w:r>
        <w:rPr>
          <w:b/>
          <w:smallCaps/>
          <w:color w:val="000000"/>
        </w:rPr>
        <w:t>Form of Bid</w:t>
      </w:r>
    </w:p>
    <w:p>
      <w:pPr>
        <w:pStyle w:val="Normal"/>
        <w:spacing w:before="0" w:after="0"/>
        <w:jc w:val="both"/>
        <w:rPr>
          <w:color w:val="000000"/>
        </w:rPr>
      </w:pPr>
      <w:r>
        <w:rPr>
          <w:color w:val="000000"/>
        </w:rPr>
      </w:r>
    </w:p>
    <w:p>
      <w:pPr>
        <w:pStyle w:val="MarginText"/>
        <w:spacing w:lineRule="auto" w:line="240" w:before="0" w:after="0"/>
        <w:rPr>
          <w:rFonts w:ascii="Arial" w:hAnsi="Arial" w:cs="Arial"/>
          <w:bCs/>
          <w:color w:val="000000"/>
          <w:szCs w:val="22"/>
          <w:lang w:val="en-AU"/>
        </w:rPr>
      </w:pPr>
      <w:r>
        <w:rPr>
          <w:rFonts w:cs="Arial" w:ascii="Arial" w:hAnsi="Arial"/>
          <w:bCs/>
          <w:color w:val="000000"/>
          <w:szCs w:val="22"/>
          <w:lang w:val="en-AU"/>
        </w:rPr>
        <w:t>United Nations Office for Project Services</w:t>
      </w:r>
    </w:p>
    <w:p>
      <w:pPr>
        <w:pStyle w:val="Normal"/>
        <w:suppressAutoHyphens w:val="true"/>
        <w:overflowPunct w:val="true"/>
        <w:spacing w:before="0" w:after="0"/>
        <w:jc w:val="both"/>
        <w:textAlignment w:val="baseline"/>
        <w:rPr>
          <w:rFonts w:eastAsia="Times New Roman"/>
          <w:bCs/>
        </w:rPr>
      </w:pPr>
      <w:r>
        <w:rPr>
          <w:rFonts w:eastAsia="Times New Roman"/>
          <w:bCs/>
        </w:rPr>
        <w:t>Lypska, 10</w:t>
      </w:r>
    </w:p>
    <w:p>
      <w:pPr>
        <w:pStyle w:val="Normal"/>
        <w:suppressAutoHyphens w:val="true"/>
        <w:overflowPunct w:val="true"/>
        <w:spacing w:before="0" w:after="0"/>
        <w:jc w:val="both"/>
        <w:textAlignment w:val="baseline"/>
        <w:rPr>
          <w:rFonts w:eastAsia="Times New Roman"/>
          <w:bCs/>
        </w:rPr>
      </w:pPr>
      <w:r>
        <w:rPr>
          <w:rFonts w:eastAsia="Times New Roman"/>
          <w:bCs/>
        </w:rPr>
        <w:t>Kyiv</w:t>
      </w:r>
    </w:p>
    <w:p>
      <w:pPr>
        <w:pStyle w:val="Normal"/>
        <w:suppressAutoHyphens w:val="true"/>
        <w:overflowPunct w:val="true"/>
        <w:spacing w:before="0" w:after="0"/>
        <w:jc w:val="both"/>
        <w:textAlignment w:val="baseline"/>
        <w:rPr>
          <w:rFonts w:eastAsia="Times New Roman"/>
          <w:lang w:val="en-GB"/>
        </w:rPr>
      </w:pPr>
      <w:r>
        <w:rPr>
          <w:rFonts w:eastAsia="Times New Roman"/>
          <w:bCs/>
        </w:rPr>
        <w:t xml:space="preserve">Ukraine </w:t>
      </w:r>
    </w:p>
    <w:p>
      <w:pPr>
        <w:pStyle w:val="Normal"/>
        <w:spacing w:before="0" w:after="0"/>
        <w:jc w:val="both"/>
        <w:rPr>
          <w:b/>
          <w:b/>
          <w:color w:val="000000"/>
        </w:rPr>
      </w:pPr>
      <w:r>
        <w:rPr>
          <w:b/>
          <w:color w:val="000000"/>
        </w:rPr>
      </w:r>
    </w:p>
    <w:p>
      <w:pPr>
        <w:pStyle w:val="Normal"/>
        <w:spacing w:before="0" w:after="0"/>
        <w:jc w:val="both"/>
        <w:rPr>
          <w:color w:val="000000"/>
        </w:rPr>
      </w:pPr>
      <w:r>
        <w:rPr>
          <w:color w:val="000000"/>
        </w:rPr>
        <w:t>Dear Sir/Madam,</w:t>
      </w:r>
    </w:p>
    <w:p>
      <w:pPr>
        <w:pStyle w:val="Normal"/>
        <w:spacing w:before="0" w:after="0"/>
        <w:jc w:val="both"/>
        <w:rPr>
          <w:b/>
          <w:b/>
          <w:color w:val="000000"/>
        </w:rPr>
      </w:pPr>
      <w:r>
        <w:rPr>
          <w:b/>
          <w:color w:val="000000"/>
        </w:rPr>
      </w:r>
    </w:p>
    <w:p>
      <w:pPr>
        <w:pStyle w:val="Normal"/>
        <w:spacing w:before="0" w:after="0"/>
        <w:jc w:val="both"/>
        <w:rPr>
          <w:b/>
          <w:b/>
          <w:color w:val="000000"/>
        </w:rPr>
      </w:pPr>
      <w:r>
        <w:rPr>
          <w:b/>
          <w:color w:val="000000"/>
        </w:rPr>
        <w:t>Subject: Bid for the Construction of</w:t>
      </w:r>
      <w:r>
        <w:rPr>
          <w:b/>
          <w:i/>
          <w:color w:val="000000"/>
        </w:rPr>
        <w:t xml:space="preserve"> Installing additional </w:t>
      </w:r>
      <w:r>
        <w:rPr>
          <w:b/>
          <w:i/>
          <w:color w:val="000000"/>
          <w:lang w:val="ru-UA"/>
        </w:rPr>
        <w:t xml:space="preserve">16 </w:t>
      </w:r>
      <w:r>
        <w:rPr>
          <w:b/>
          <w:i/>
          <w:color w:val="000000"/>
        </w:rPr>
        <w:t>modules to existing check-points and community policing posts of the MDNP in Donetsk Region to enhance provision of police services to the population in the post-conflict or adjacent to conflict territories of Donetsk region</w:t>
      </w:r>
      <w:r>
        <w:rPr>
          <w:i/>
          <w:color w:val="000000"/>
        </w:rPr>
        <w:t xml:space="preserve"> </w:t>
      </w:r>
      <w:r>
        <w:rPr>
          <w:b/>
          <w:bCs/>
          <w:i/>
          <w:iCs/>
          <w:color w:val="000000"/>
        </w:rPr>
        <w:t>in</w:t>
      </w:r>
      <w:r>
        <w:rPr>
          <w:i/>
          <w:color w:val="000000"/>
        </w:rPr>
        <w:t xml:space="preserve"> </w:t>
      </w:r>
      <w:r>
        <w:rPr>
          <w:b/>
          <w:bCs/>
          <w:i/>
          <w:iCs/>
          <w:color w:val="000000"/>
          <w:lang w:val="en-US"/>
        </w:rPr>
        <w:t>Ukraine</w:t>
      </w:r>
      <w:r>
        <w:rPr>
          <w:b/>
          <w:color w:val="000000"/>
        </w:rPr>
        <w:t xml:space="preserve">, ITB Case No. </w:t>
      </w:r>
      <w:r>
        <w:rPr>
          <w:b/>
          <w:color w:val="000000"/>
          <w:lang w:val="en-US"/>
        </w:rPr>
        <w:t>ITB/2020/16308</w:t>
      </w:r>
      <w:r>
        <w:rPr>
          <w:b/>
          <w:color w:val="000000"/>
        </w:rPr>
        <w:t>, dated</w:t>
      </w:r>
      <w:r>
        <w:rPr>
          <w:b/>
          <w:color w:val="000000"/>
          <w:lang w:val="en-US"/>
        </w:rPr>
        <w:t xml:space="preserve"> 9 October 2020</w:t>
      </w:r>
      <w:r>
        <w:rPr>
          <w:b/>
          <w:color w:val="000000"/>
        </w:rPr>
        <w:t>.</w:t>
      </w:r>
    </w:p>
    <w:p>
      <w:pPr>
        <w:pStyle w:val="Normal"/>
        <w:spacing w:before="0" w:after="0"/>
        <w:jc w:val="both"/>
        <w:rPr>
          <w:b/>
          <w:b/>
          <w:color w:val="000000"/>
        </w:rPr>
      </w:pPr>
      <w:r>
        <w:rPr>
          <w:b/>
          <w:color w:val="000000"/>
        </w:rPr>
      </w:r>
    </w:p>
    <w:p>
      <w:pPr>
        <w:pStyle w:val="Normal"/>
        <w:numPr>
          <w:ilvl w:val="0"/>
          <w:numId w:val="18"/>
        </w:numPr>
        <w:spacing w:before="0" w:after="0"/>
        <w:jc w:val="both"/>
        <w:rPr>
          <w:color w:val="000000"/>
        </w:rPr>
      </w:pPr>
      <w:r>
        <w:rPr>
          <w:color w:val="000000"/>
        </w:rPr>
        <w:t>We, [</w:t>
      </w:r>
      <w:r>
        <w:rPr>
          <w:b/>
          <w:i/>
          <w:color w:val="000000"/>
          <w:highlight w:val="cyan"/>
        </w:rPr>
        <w:t>Name of Bidder</w:t>
      </w:r>
      <w:r>
        <w:rPr>
          <w:color w:val="000000"/>
        </w:rPr>
        <w:t xml:space="preserve">], hereby submit a bid for the construction of the above-referenced works in response to the above-referenced ITB.   </w:t>
      </w:r>
    </w:p>
    <w:p>
      <w:pPr>
        <w:pStyle w:val="Normal"/>
        <w:spacing w:before="0" w:after="0"/>
        <w:ind w:left="720" w:hanging="0"/>
        <w:jc w:val="both"/>
        <w:rPr>
          <w:color w:val="000000"/>
        </w:rPr>
      </w:pPr>
      <w:r>
        <w:rPr>
          <w:color w:val="000000"/>
        </w:rPr>
      </w:r>
    </w:p>
    <w:p>
      <w:pPr>
        <w:pStyle w:val="Normal"/>
        <w:numPr>
          <w:ilvl w:val="0"/>
          <w:numId w:val="18"/>
        </w:numPr>
        <w:spacing w:before="0" w:after="0"/>
        <w:jc w:val="both"/>
        <w:rPr>
          <w:color w:val="000000"/>
        </w:rPr>
      </w:pPr>
      <w:r>
        <w:rPr>
          <w:color w:val="000000"/>
        </w:rPr>
        <w:t>We warrant that in preparing and submitting this bid, we have complied with, and are willing to be bound by, any and all of the requirements and provisions of the above-referenced ITB, including the terms and conditions of the Contract as set out in Section V of the ITB.</w:t>
      </w:r>
    </w:p>
    <w:p>
      <w:pPr>
        <w:pStyle w:val="Normal"/>
        <w:spacing w:before="0" w:after="0"/>
        <w:ind w:left="720" w:hanging="0"/>
        <w:jc w:val="both"/>
        <w:rPr>
          <w:color w:val="000000"/>
        </w:rPr>
      </w:pPr>
      <w:r>
        <w:rPr>
          <w:color w:val="000000"/>
        </w:rPr>
      </w:r>
    </w:p>
    <w:p>
      <w:pPr>
        <w:pStyle w:val="Normal"/>
        <w:numPr>
          <w:ilvl w:val="0"/>
          <w:numId w:val="18"/>
        </w:numPr>
        <w:spacing w:before="0" w:after="0"/>
        <w:jc w:val="both"/>
        <w:rPr>
          <w:color w:val="000000"/>
        </w:rPr>
      </w:pPr>
      <w:r>
        <w:rPr>
          <w:color w:val="000000"/>
        </w:rPr>
        <w:t>Based on the above, our proposed Contract Price is: [</w:t>
      </w:r>
      <w:r>
        <w:rPr>
          <w:b/>
          <w:i/>
          <w:color w:val="000000"/>
          <w:highlight w:val="cyan"/>
        </w:rPr>
        <w:t>Insert Proposed Contract Price in numbers and letters</w:t>
      </w:r>
      <w:r>
        <w:rPr>
          <w:color w:val="000000"/>
        </w:rPr>
        <w:t>].</w:t>
      </w:r>
    </w:p>
    <w:p>
      <w:pPr>
        <w:pStyle w:val="Normal"/>
        <w:spacing w:before="0" w:after="0"/>
        <w:ind w:left="720" w:hanging="0"/>
        <w:jc w:val="both"/>
        <w:rPr>
          <w:color w:val="000000"/>
        </w:rPr>
      </w:pPr>
      <w:r>
        <w:rPr>
          <w:color w:val="000000"/>
        </w:rPr>
      </w:r>
    </w:p>
    <w:p>
      <w:pPr>
        <w:pStyle w:val="Normal"/>
        <w:numPr>
          <w:ilvl w:val="0"/>
          <w:numId w:val="18"/>
        </w:numPr>
        <w:spacing w:before="0" w:after="0"/>
        <w:jc w:val="both"/>
        <w:rPr>
          <w:color w:val="000000"/>
        </w:rPr>
      </w:pPr>
      <w:r>
        <w:rPr>
          <w:color w:val="000000"/>
        </w:rPr>
        <w:t xml:space="preserve">Our bid shall remain valid for UNOPS’ acceptance until </w:t>
      </w:r>
      <w:r>
        <w:rPr>
          <w:color w:val="000000"/>
          <w:lang w:val="uk-UA"/>
        </w:rPr>
        <w:t xml:space="preserve">90 </w:t>
      </w:r>
      <w:r>
        <w:rPr>
          <w:color w:val="000000"/>
        </w:rPr>
        <w:t>days from the Deadline for Bid Submission.</w:t>
      </w:r>
    </w:p>
    <w:p>
      <w:pPr>
        <w:pStyle w:val="Normal"/>
        <w:spacing w:before="0" w:after="0"/>
        <w:ind w:left="720" w:hanging="0"/>
        <w:jc w:val="both"/>
        <w:rPr>
          <w:color w:val="000000"/>
        </w:rPr>
      </w:pPr>
      <w:r>
        <w:rPr>
          <w:color w:val="000000"/>
        </w:rPr>
      </w:r>
    </w:p>
    <w:p>
      <w:pPr>
        <w:pStyle w:val="Normal"/>
        <w:numPr>
          <w:ilvl w:val="0"/>
          <w:numId w:val="18"/>
        </w:numPr>
        <w:spacing w:before="0" w:after="0"/>
        <w:jc w:val="both"/>
        <w:rPr>
          <w:color w:val="000000"/>
        </w:rPr>
      </w:pPr>
      <w:r>
        <w:rPr>
          <w:color w:val="000000"/>
        </w:rPr>
        <w:t>We acknowledge and agree that:</w:t>
      </w:r>
    </w:p>
    <w:p>
      <w:pPr>
        <w:pStyle w:val="Normal"/>
        <w:spacing w:before="0" w:after="0"/>
        <w:jc w:val="both"/>
        <w:rPr>
          <w:color w:val="000000"/>
        </w:rPr>
      </w:pPr>
      <w:r>
        <w:rPr>
          <w:color w:val="000000"/>
        </w:rPr>
      </w:r>
    </w:p>
    <w:p>
      <w:pPr>
        <w:pStyle w:val="Normal"/>
        <w:numPr>
          <w:ilvl w:val="1"/>
          <w:numId w:val="14"/>
        </w:numPr>
        <w:spacing w:before="0" w:after="0"/>
        <w:jc w:val="both"/>
        <w:rPr>
          <w:color w:val="000000"/>
        </w:rPr>
      </w:pPr>
      <w:r>
        <w:rPr>
          <w:color w:val="000000"/>
        </w:rPr>
        <w:t>subject to Section III of the ITB, UNOPS is not bound to accept the lowest bid or any other bid it may receive in response to the above-referenced ITB;</w:t>
      </w:r>
    </w:p>
    <w:p>
      <w:pPr>
        <w:pStyle w:val="Normal"/>
        <w:numPr>
          <w:ilvl w:val="1"/>
          <w:numId w:val="14"/>
        </w:numPr>
        <w:spacing w:before="0" w:after="0"/>
        <w:jc w:val="both"/>
        <w:rPr>
          <w:color w:val="000000"/>
        </w:rPr>
      </w:pPr>
      <w:r>
        <w:rPr>
          <w:color w:val="000000"/>
        </w:rPr>
        <w:t xml:space="preserve">no liability of UNOPS and no binding contract exists until the Contract is executed by both parties; </w:t>
      </w:r>
    </w:p>
    <w:p>
      <w:pPr>
        <w:pStyle w:val="Normal"/>
        <w:numPr>
          <w:ilvl w:val="1"/>
          <w:numId w:val="14"/>
        </w:numPr>
        <w:spacing w:before="0" w:after="0"/>
        <w:jc w:val="both"/>
        <w:rPr>
          <w:color w:val="000000"/>
        </w:rPr>
      </w:pPr>
      <w:r>
        <w:rPr>
          <w:color w:val="000000"/>
        </w:rPr>
        <w:t>each party constituting the bidder is bound jointly and severally by this bid; and</w:t>
      </w:r>
    </w:p>
    <w:p>
      <w:pPr>
        <w:pStyle w:val="Normal"/>
        <w:spacing w:before="0" w:after="0"/>
        <w:ind w:left="1440" w:hanging="0"/>
        <w:jc w:val="both"/>
        <w:rPr>
          <w:color w:val="000000"/>
        </w:rPr>
      </w:pPr>
      <w:r>
        <w:rPr>
          <w:color w:val="000000"/>
        </w:rPr>
      </w:r>
    </w:p>
    <w:p>
      <w:pPr>
        <w:pStyle w:val="Normal"/>
        <w:spacing w:before="0" w:after="0"/>
        <w:jc w:val="both"/>
        <w:rPr>
          <w:color w:val="000000"/>
        </w:rPr>
      </w:pPr>
      <w:r>
        <w:rPr>
          <w:color w:val="000000"/>
        </w:rPr>
        <w:t>I, the undersigned, certify that I am duly authorized by [</w:t>
      </w:r>
      <w:r>
        <w:rPr>
          <w:b/>
          <w:i/>
          <w:color w:val="000000"/>
          <w:highlight w:val="cyan"/>
        </w:rPr>
        <w:t>insert name of bidder</w:t>
      </w:r>
      <w:r>
        <w:rPr>
          <w:color w:val="000000"/>
        </w:rPr>
        <w:t>] to sign this bid and bind [</w:t>
      </w:r>
      <w:r>
        <w:rPr>
          <w:b/>
          <w:i/>
          <w:color w:val="000000"/>
          <w:highlight w:val="cyan"/>
        </w:rPr>
        <w:t>insert name of bidder</w:t>
      </w:r>
      <w:r>
        <w:rPr>
          <w:color w:val="000000"/>
        </w:rPr>
        <w:t xml:space="preserve">] should UNOPS accept this bid: </w:t>
      </w:r>
    </w:p>
    <w:p>
      <w:pPr>
        <w:pStyle w:val="Normal"/>
        <w:tabs>
          <w:tab w:val="clear" w:pos="720"/>
          <w:tab w:val="left" w:pos="990" w:leader="none"/>
          <w:tab w:val="left" w:pos="5040" w:leader="none"/>
          <w:tab w:val="left" w:pos="5850" w:leader="none"/>
        </w:tabs>
        <w:spacing w:before="0" w:after="0"/>
        <w:rPr>
          <w:color w:val="000000"/>
        </w:rPr>
      </w:pPr>
      <w:r>
        <w:rPr>
          <w:color w:val="000000"/>
        </w:rPr>
        <w:t>Name</w:t>
        <w:tab/>
        <w:t>: _____________________________________________________________</w:t>
      </w:r>
    </w:p>
    <w:p>
      <w:pPr>
        <w:pStyle w:val="Normal"/>
        <w:tabs>
          <w:tab w:val="left" w:pos="720" w:leader="none"/>
        </w:tabs>
        <w:spacing w:before="0" w:after="0"/>
        <w:rPr>
          <w:color w:val="000000"/>
        </w:rPr>
      </w:pPr>
      <w:r>
        <w:rPr>
          <w:color w:val="000000"/>
        </w:rPr>
      </w:r>
    </w:p>
    <w:p>
      <w:pPr>
        <w:pStyle w:val="Normal"/>
        <w:tabs>
          <w:tab w:val="clear" w:pos="720"/>
          <w:tab w:val="left" w:pos="990" w:leader="none"/>
        </w:tabs>
        <w:spacing w:before="0" w:after="0"/>
        <w:rPr>
          <w:color w:val="000000"/>
        </w:rPr>
      </w:pPr>
      <w:r>
        <w:rPr>
          <w:color w:val="000000"/>
        </w:rPr>
        <w:t>Title</w:t>
        <w:tab/>
        <w:t>: _____________________________________________________________</w:t>
      </w:r>
    </w:p>
    <w:p>
      <w:pPr>
        <w:pStyle w:val="Normal"/>
        <w:spacing w:before="0" w:after="0"/>
        <w:rPr>
          <w:color w:val="000000"/>
        </w:rPr>
      </w:pPr>
      <w:r>
        <w:rPr>
          <w:color w:val="000000"/>
        </w:rPr>
      </w:r>
    </w:p>
    <w:p>
      <w:pPr>
        <w:pStyle w:val="Normal"/>
        <w:tabs>
          <w:tab w:val="clear" w:pos="720"/>
          <w:tab w:val="left" w:pos="990" w:leader="none"/>
        </w:tabs>
        <w:spacing w:before="0" w:after="0"/>
        <w:rPr>
          <w:color w:val="000000"/>
        </w:rPr>
      </w:pPr>
      <w:r>
        <w:rPr>
          <w:color w:val="000000"/>
        </w:rPr>
        <w:t>Date</w:t>
        <w:tab/>
        <w:t>: _____________________________________________________________</w:t>
      </w:r>
    </w:p>
    <w:p>
      <w:pPr>
        <w:pStyle w:val="Normal"/>
        <w:spacing w:before="0" w:after="0"/>
        <w:rPr>
          <w:color w:val="000000"/>
        </w:rPr>
      </w:pPr>
      <w:r>
        <w:rPr>
          <w:color w:val="000000"/>
        </w:rPr>
      </w:r>
    </w:p>
    <w:p>
      <w:pPr>
        <w:pStyle w:val="Normal"/>
        <w:tabs>
          <w:tab w:val="clear" w:pos="720"/>
          <w:tab w:val="left" w:pos="990" w:leader="none"/>
        </w:tabs>
        <w:spacing w:before="0" w:after="0"/>
        <w:rPr>
          <w:color w:val="000000"/>
        </w:rPr>
      </w:pPr>
      <w:r>
        <w:rPr>
          <w:color w:val="000000"/>
        </w:rPr>
        <w:t>Signature</w:t>
        <w:tab/>
        <w:t>: _____________________________________________________________</w:t>
      </w:r>
    </w:p>
    <w:p>
      <w:pPr>
        <w:pStyle w:val="Normal"/>
        <w:spacing w:before="0" w:after="0"/>
        <w:rPr>
          <w:color w:val="000000"/>
        </w:rPr>
      </w:pPr>
      <w:r>
        <w:rPr>
          <w:color w:val="000000"/>
        </w:rPr>
      </w:r>
    </w:p>
    <w:p>
      <w:pPr>
        <w:pStyle w:val="Normal"/>
        <w:spacing w:before="0" w:after="0"/>
        <w:rPr>
          <w:color w:val="000000"/>
        </w:rPr>
      </w:pPr>
      <w:r>
        <w:rPr>
          <w:color w:val="000000"/>
        </w:rPr>
      </w:r>
    </w:p>
    <w:p>
      <w:pPr>
        <w:pStyle w:val="Normal"/>
        <w:tabs>
          <w:tab w:val="clear" w:pos="720"/>
          <w:tab w:val="left" w:pos="2070" w:leader="none"/>
          <w:tab w:val="left" w:pos="5880" w:leader="none"/>
        </w:tabs>
        <w:spacing w:before="0" w:after="0"/>
        <w:rPr>
          <w:color w:val="000000"/>
        </w:rPr>
      </w:pPr>
      <w:r>
        <w:rPr>
          <w:color w:val="000000"/>
        </w:rPr>
      </w:r>
    </w:p>
    <w:p>
      <w:pPr>
        <w:pStyle w:val="Normal"/>
        <w:keepNext w:val="true"/>
        <w:spacing w:before="0" w:after="0"/>
        <w:jc w:val="center"/>
        <w:rPr>
          <w:b/>
          <w:b/>
          <w:smallCaps/>
          <w:color w:val="000000"/>
        </w:rPr>
      </w:pPr>
      <w:r>
        <w:rPr>
          <w:b/>
          <w:color w:val="000000"/>
        </w:rPr>
        <w:t>[</w:t>
      </w:r>
      <w:r>
        <w:rPr>
          <w:i/>
          <w:color w:val="000000"/>
          <w:highlight w:val="cyan"/>
        </w:rPr>
        <w:t>Stamp form of bid with official stamp of the bidder</w:t>
      </w:r>
      <w:r>
        <w:rPr>
          <w:b/>
          <w:color w:val="000000"/>
        </w:rPr>
        <w:t>]</w:t>
      </w:r>
      <w:r>
        <w:br w:type="page"/>
      </w:r>
    </w:p>
    <w:p>
      <w:pPr>
        <w:pStyle w:val="Normal"/>
        <w:keepNext w:val="true"/>
        <w:spacing w:before="0" w:after="0"/>
        <w:jc w:val="center"/>
        <w:rPr>
          <w:b/>
          <w:b/>
          <w:smallCaps/>
          <w:color w:val="000000"/>
        </w:rPr>
      </w:pPr>
      <w:r>
        <w:rPr>
          <w:b/>
          <w:smallCaps/>
          <w:color w:val="000000"/>
        </w:rPr>
        <w:t>RETURNABLE BID SCHEDULE 2</w:t>
      </w:r>
    </w:p>
    <w:p>
      <w:pPr>
        <w:pStyle w:val="Normal"/>
        <w:keepNext w:val="true"/>
        <w:spacing w:before="0" w:after="0"/>
        <w:jc w:val="center"/>
        <w:rPr>
          <w:b/>
          <w:b/>
          <w:smallCaps/>
          <w:color w:val="000000"/>
          <w:u w:val="single"/>
        </w:rPr>
      </w:pPr>
      <w:r>
        <w:rPr>
          <w:b/>
          <w:smallCaps/>
          <w:color w:val="000000"/>
          <w:u w:val="single"/>
        </w:rPr>
      </w:r>
    </w:p>
    <w:p>
      <w:pPr>
        <w:pStyle w:val="Normal"/>
        <w:spacing w:before="0" w:after="0"/>
        <w:jc w:val="center"/>
        <w:rPr>
          <w:smallCaps/>
          <w:color w:val="000000"/>
        </w:rPr>
      </w:pPr>
      <w:r>
        <w:rPr>
          <w:b/>
          <w:smallCaps/>
          <w:color w:val="000000"/>
        </w:rPr>
        <w:t>BIDDER'S DETAILS</w:t>
      </w:r>
      <w:r>
        <w:rPr>
          <w:smallCaps/>
          <w:color w:val="000000"/>
        </w:rPr>
        <w:t xml:space="preserve"> </w:t>
      </w:r>
    </w:p>
    <w:p>
      <w:pPr>
        <w:pStyle w:val="Normal"/>
        <w:spacing w:before="0" w:after="0"/>
        <w:rPr>
          <w:color w:val="000000"/>
        </w:rPr>
      </w:pPr>
      <w:r>
        <w:rPr>
          <w:color w:val="000000"/>
        </w:rPr>
      </w:r>
    </w:p>
    <w:tbl>
      <w:tblPr>
        <w:tblStyle w:val="ab"/>
        <w:tblW w:w="9000" w:type="dxa"/>
        <w:jc w:val="left"/>
        <w:tblInd w:w="108" w:type="dxa"/>
        <w:tblLayout w:type="fixed"/>
        <w:tblCellMar>
          <w:top w:w="0" w:type="dxa"/>
          <w:left w:w="108" w:type="dxa"/>
          <w:bottom w:w="0" w:type="dxa"/>
          <w:right w:w="108" w:type="dxa"/>
        </w:tblCellMar>
        <w:tblLook w:firstRow="0" w:noVBand="1" w:lastRow="0" w:firstColumn="0" w:lastColumn="0" w:noHBand="0" w:val="0400"/>
      </w:tblPr>
      <w:tblGrid>
        <w:gridCol w:w="9000"/>
      </w:tblGrid>
      <w:tr>
        <w:trPr>
          <w:trHeight w:val="7280" w:hRule="atLeast"/>
        </w:trPr>
        <w:tc>
          <w:tcPr>
            <w:tcW w:w="90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ITB Case No.: 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Name of bidder: 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Trade Licence title and No.: 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Address of registered office:__________________________________________________________________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Name of bidder representative: 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Address for service of notices (if different than above):</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Phone number: 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Facsimile number: 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Mobile phone number: _______________________________________________________________________</w:t>
            </w:r>
          </w:p>
          <w:p>
            <w:pPr>
              <w:pStyle w:val="Normal"/>
              <w:widowControl w:val="false"/>
              <w:spacing w:before="0" w:after="0"/>
              <w:rPr>
                <w:color w:val="000000"/>
              </w:rPr>
            </w:pPr>
            <w:r>
              <w:rPr>
                <w:color w:val="000000"/>
              </w:rPr>
            </w:r>
          </w:p>
          <w:p>
            <w:pPr>
              <w:pStyle w:val="Normal"/>
              <w:widowControl w:val="false"/>
              <w:spacing w:before="0" w:after="0"/>
              <w:rPr>
                <w:color w:val="000000"/>
              </w:rPr>
            </w:pPr>
            <w:r>
              <w:rPr>
                <w:color w:val="000000"/>
              </w:rPr>
              <w:t>Email: _______________________________________________________________________</w:t>
            </w:r>
          </w:p>
          <w:p>
            <w:pPr>
              <w:pStyle w:val="MarginText"/>
              <w:widowControl w:val="false"/>
              <w:spacing w:lineRule="auto" w:line="240" w:before="0" w:after="0"/>
              <w:jc w:val="left"/>
              <w:rPr>
                <w:rFonts w:ascii="Arial" w:hAnsi="Arial"/>
                <w:i/>
                <w:i/>
              </w:rPr>
            </w:pPr>
            <w:r>
              <w:rPr>
                <w:color w:val="000000"/>
              </w:rPr>
              <w:tab/>
            </w:r>
            <w:r>
              <w:rPr>
                <w:rFonts w:ascii="Arial" w:hAnsi="Arial"/>
                <w:i/>
              </w:rPr>
              <w:t>The following documents shall be attached with this schedule:</w:t>
              <w:tab/>
            </w:r>
          </w:p>
          <w:p>
            <w:pPr>
              <w:pStyle w:val="ListParagraph"/>
              <w:widowControl w:val="false"/>
              <w:numPr>
                <w:ilvl w:val="0"/>
                <w:numId w:val="33"/>
              </w:numPr>
              <w:spacing w:before="0" w:after="0"/>
              <w:rPr>
                <w:rFonts w:ascii="Arial" w:hAnsi="Arial"/>
                <w:i/>
                <w:i/>
                <w:szCs w:val="20"/>
                <w:lang w:val="en-GB"/>
              </w:rPr>
            </w:pPr>
            <w:r>
              <w:rPr>
                <w:rFonts w:ascii="Arial" w:hAnsi="Arial"/>
                <w:i/>
                <w:szCs w:val="20"/>
                <w:lang w:val="en-GB"/>
              </w:rPr>
              <w:t>Valid registration Certificate(s) as applicable with the regulatory statutory requirements</w:t>
            </w:r>
          </w:p>
          <w:p>
            <w:pPr>
              <w:pStyle w:val="Normal"/>
              <w:widowControl w:val="false"/>
              <w:spacing w:before="0" w:after="0"/>
              <w:rPr>
                <w:color w:val="000000"/>
              </w:rPr>
            </w:pPr>
            <w:r>
              <w:rPr>
                <w:color w:val="000000"/>
              </w:rPr>
            </w:r>
          </w:p>
        </w:tc>
      </w:tr>
    </w:tbl>
    <w:p>
      <w:pPr>
        <w:pStyle w:val="Normal"/>
        <w:spacing w:before="0" w:after="0"/>
        <w:rPr>
          <w:b/>
          <w:b/>
          <w:smallCaps/>
          <w:color w:val="000000"/>
        </w:rPr>
      </w:pPr>
      <w:r>
        <w:rPr>
          <w:b/>
          <w:smallCaps/>
          <w:color w:val="000000"/>
        </w:rPr>
      </w:r>
    </w:p>
    <w:p>
      <w:pPr>
        <w:pStyle w:val="Normal"/>
        <w:spacing w:before="0" w:after="0"/>
        <w:rPr>
          <w:b/>
          <w:b/>
          <w:smallCaps/>
          <w:color w:val="000000"/>
        </w:rPr>
      </w:pPr>
      <w:r>
        <w:rPr>
          <w:b/>
          <w:smallCaps/>
          <w:color w:val="000000"/>
        </w:rPr>
      </w:r>
      <w:r>
        <w:br w:type="page"/>
      </w:r>
    </w:p>
    <w:p>
      <w:pPr>
        <w:pStyle w:val="Normal"/>
        <w:keepNext w:val="true"/>
        <w:spacing w:before="0" w:after="0"/>
        <w:jc w:val="center"/>
        <w:rPr>
          <w:b/>
          <w:b/>
          <w:smallCaps/>
          <w:color w:val="000000"/>
        </w:rPr>
      </w:pPr>
      <w:r>
        <w:rPr>
          <w:b/>
          <w:smallCaps/>
          <w:color w:val="000000"/>
        </w:rPr>
        <w:t>RETURNABLE BID SCHEDULE 3</w:t>
      </w:r>
    </w:p>
    <w:p>
      <w:pPr>
        <w:pStyle w:val="Normal"/>
        <w:keepNext w:val="true"/>
        <w:spacing w:before="0" w:after="0"/>
        <w:jc w:val="center"/>
        <w:rPr>
          <w:b/>
          <w:b/>
          <w:smallCaps/>
          <w:color w:val="000000"/>
          <w:u w:val="single"/>
        </w:rPr>
      </w:pPr>
      <w:r>
        <w:rPr>
          <w:b/>
          <w:smallCaps/>
          <w:color w:val="000000"/>
          <w:u w:val="single"/>
        </w:rPr>
      </w:r>
    </w:p>
    <w:p>
      <w:pPr>
        <w:pStyle w:val="Normal"/>
        <w:keepNext w:val="true"/>
        <w:spacing w:before="0" w:after="0"/>
        <w:jc w:val="center"/>
        <w:rPr>
          <w:b/>
          <w:b/>
          <w:smallCaps/>
          <w:color w:val="000000"/>
        </w:rPr>
      </w:pPr>
      <w:r>
        <w:rPr>
          <w:b/>
          <w:i/>
          <w:smallCaps/>
          <w:color w:val="000000"/>
        </w:rPr>
        <w:t>BILL OF QUANTITIES</w:t>
      </w:r>
    </w:p>
    <w:p>
      <w:pPr>
        <w:pStyle w:val="Normal"/>
        <w:spacing w:before="0" w:after="0"/>
        <w:jc w:val="both"/>
        <w:rPr>
          <w:highlight w:val="lightGray"/>
        </w:rPr>
      </w:pPr>
      <w:r>
        <w:rPr>
          <w:highlight w:val="lightGray"/>
        </w:rPr>
      </w:r>
    </w:p>
    <w:p>
      <w:pPr>
        <w:pStyle w:val="Normal"/>
        <w:spacing w:before="0" w:after="0"/>
        <w:jc w:val="both"/>
        <w:rPr>
          <w:color w:val="000000"/>
        </w:rPr>
      </w:pPr>
      <w:r>
        <w:rPr>
          <w:color w:val="000000"/>
        </w:rPr>
        <w:t>ITB Case No.: 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Name of bidder: 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Date: ____________________________________________________________________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Signature: ________________________________________________________________</w:t>
      </w:r>
    </w:p>
    <w:p>
      <w:pPr>
        <w:pStyle w:val="Normal"/>
        <w:spacing w:before="0" w:after="0"/>
        <w:jc w:val="both"/>
        <w:rPr>
          <w:i/>
          <w:i/>
          <w:color w:val="000000"/>
        </w:rPr>
      </w:pPr>
      <w:r>
        <w:rPr>
          <w:i/>
          <w:color w:val="000000"/>
        </w:rPr>
      </w:r>
    </w:p>
    <w:p>
      <w:pPr>
        <w:pStyle w:val="Normal"/>
        <w:spacing w:before="0" w:after="0"/>
        <w:jc w:val="both"/>
        <w:rPr>
          <w:i/>
          <w:i/>
          <w:color w:val="000000"/>
        </w:rPr>
      </w:pPr>
      <w:r>
        <w:rPr>
          <w:i/>
          <w:color w:val="000000"/>
          <w:u w:val="single"/>
        </w:rPr>
        <w:t>Note to bidders</w:t>
      </w:r>
      <w:r>
        <w:rPr>
          <w:i/>
          <w:color w:val="000000"/>
        </w:rPr>
        <w:t>: Bidders shall submit within Returnable Bid Schedule 3 (or annexed to Returnable Bid Schedule 3 if files size is prohibitively large) Bill of Quantities</w:t>
      </w:r>
      <w:r>
        <w:rPr>
          <w:b/>
          <w:i/>
          <w:color w:val="000000"/>
        </w:rPr>
        <w:t xml:space="preserve"> </w:t>
      </w:r>
    </w:p>
    <w:p>
      <w:pPr>
        <w:pStyle w:val="Normal"/>
        <w:spacing w:before="0" w:after="0"/>
        <w:jc w:val="both"/>
        <w:rPr>
          <w:b/>
          <w:b/>
          <w:smallCaps/>
          <w:color w:val="000000"/>
        </w:rPr>
      </w:pPr>
      <w:r>
        <w:rPr>
          <w:b/>
          <w:smallCaps/>
          <w:color w:val="000000"/>
        </w:rPr>
      </w:r>
    </w:p>
    <w:p>
      <w:pPr>
        <w:pStyle w:val="Normal"/>
        <w:spacing w:before="0" w:after="0"/>
        <w:rPr>
          <w:rFonts w:eastAsia="Times New Roman"/>
          <w:i/>
          <w:i/>
          <w:color w:val="000000"/>
        </w:rPr>
      </w:pPr>
      <w:r>
        <w:rPr>
          <w:rFonts w:eastAsia="Times New Roman"/>
          <w:i/>
          <w:color w:val="000000"/>
        </w:rPr>
        <w:t>Note that the Bill of Quantities (BoQs) for this work is labelled as follows:</w:t>
      </w:r>
    </w:p>
    <w:p>
      <w:pPr>
        <w:pStyle w:val="Normal"/>
        <w:spacing w:before="0" w:after="0"/>
        <w:rPr>
          <w:rFonts w:eastAsia="Times New Roman"/>
          <w:i/>
          <w:i/>
          <w:color w:val="000000"/>
        </w:rPr>
      </w:pPr>
      <w:r>
        <w:rPr>
          <w:rFonts w:eastAsia="Times New Roman"/>
          <w:i/>
          <w:color w:val="000000"/>
        </w:rPr>
      </w:r>
    </w:p>
    <w:p>
      <w:pPr>
        <w:pStyle w:val="Normal"/>
        <w:spacing w:before="0" w:after="0"/>
        <w:rPr>
          <w:rFonts w:eastAsia="Times New Roman"/>
          <w:i/>
          <w:i/>
          <w:color w:val="000000"/>
        </w:rPr>
      </w:pPr>
      <w:r>
        <w:rPr>
          <w:rFonts w:eastAsia="Times New Roman"/>
          <w:i/>
          <w:color w:val="000000"/>
        </w:rPr>
        <w:t>Annex:3 BOQ</w:t>
      </w:r>
    </w:p>
    <w:p>
      <w:pPr>
        <w:pStyle w:val="Normal"/>
        <w:spacing w:before="0" w:after="0"/>
        <w:rPr>
          <w:rFonts w:eastAsia="Times New Roman"/>
          <w:i/>
          <w:i/>
          <w:color w:val="000000"/>
        </w:rPr>
      </w:pPr>
      <w:r>
        <mc:AlternateContent>
          <mc:Choice Requires="wps">
            <w:drawing>
              <wp:anchor behindDoc="0" distT="0" distB="0" distL="0" distR="0" simplePos="0" locked="0" layoutInCell="0" allowOverlap="1" relativeHeight="4" wp14:anchorId="0436BD65">
                <wp:simplePos x="0" y="0"/>
                <wp:positionH relativeFrom="column">
                  <wp:posOffset>4993005</wp:posOffset>
                </wp:positionH>
                <wp:positionV relativeFrom="paragraph">
                  <wp:posOffset>168275</wp:posOffset>
                </wp:positionV>
                <wp:extent cx="502920" cy="471170"/>
                <wp:effectExtent l="38100" t="0" r="33020" b="64770"/>
                <wp:wrapNone/>
                <wp:docPr id="7" name="Прямая со стрелкой 4"/>
                <a:graphic xmlns:a="http://schemas.openxmlformats.org/drawingml/2006/main">
                  <a:graphicData uri="http://schemas.microsoft.com/office/word/2010/wordprocessingShape">
                    <wps:wsp>
                      <wps:cNvSpPr/>
                      <wps:spPr>
                        <a:xfrm flipH="1">
                          <a:off x="0" y="0"/>
                          <a:ext cx="502200" cy="470520"/>
                        </a:xfrm>
                        <a:custGeom>
                          <a:avLst/>
                          <a:gdLst/>
                          <a:ahLst/>
                          <a:rect l="l" t="t" r="r" b="b"/>
                          <a:pathLst>
                            <a:path w="21600" h="21600">
                              <a:moveTo>
                                <a:pt x="0" y="0"/>
                              </a:moveTo>
                              <a:lnTo>
                                <a:pt x="21600" y="21600"/>
                              </a:lnTo>
                            </a:path>
                          </a:pathLst>
                        </a:custGeom>
                        <a:noFill/>
                        <a:ln>
                          <a:solidFill>
                            <a:srgbClr val="4a7ebb"/>
                          </a:solidFill>
                          <a:round/>
                          <a:tailEnd len="med" type="triangle" w="med"/>
                        </a:ln>
                      </wps:spPr>
                      <wps:style>
                        <a:lnRef idx="1">
                          <a:schemeClr val="accent1"/>
                        </a:lnRef>
                        <a:fillRef idx="0">
                          <a:schemeClr val="accent1"/>
                        </a:fillRef>
                        <a:effectRef idx="0">
                          <a:schemeClr val="accent1"/>
                        </a:effectRef>
                        <a:fontRef idx="minor"/>
                      </wps:style>
                      <wps:bodyPr/>
                    </wps:wsp>
                  </a:graphicData>
                </a:graphic>
              </wp:anchor>
            </w:drawing>
          </mc:Choice>
          <mc:Fallback>
            <w:pict/>
          </mc:Fallback>
        </mc:AlternateContent>
      </w:r>
      <w:r>
        <w:rPr>
          <w:rFonts w:eastAsia="Times New Roman"/>
          <w:i/>
          <w:color w:val="000000"/>
        </w:rPr>
        <w:t xml:space="preserve">Do not change format or number of columns/rows – please put prices in column </w:t>
      </w:r>
      <w:r>
        <w:rPr>
          <w:rFonts w:eastAsia="Times New Roman"/>
          <w:b/>
          <w:i/>
          <w:color w:val="000000"/>
        </w:rPr>
        <w:t>Unit cost</w:t>
      </w:r>
      <w:r>
        <w:rPr>
          <w:rFonts w:eastAsia="Times New Roman"/>
          <w:i/>
          <w:color w:val="000000"/>
        </w:rPr>
        <w:t xml:space="preserve"> only </w:t>
      </w:r>
    </w:p>
    <w:p>
      <w:pPr>
        <w:pStyle w:val="Normal"/>
        <w:spacing w:before="0" w:after="0"/>
        <w:rPr>
          <w:lang w:val="en-GB"/>
        </w:rPr>
      </w:pPr>
      <w:r>
        <w:rPr>
          <w:lang w:val="en-GB"/>
        </w:rPr>
      </w:r>
    </w:p>
    <w:p>
      <w:pPr>
        <w:pStyle w:val="Normal"/>
        <w:spacing w:before="0" w:after="0"/>
        <w:rPr>
          <w:lang w:val="en-GB"/>
        </w:rPr>
      </w:pPr>
      <w:r>
        <w:rPr>
          <w:lang w:val="en-GB"/>
        </w:rPr>
      </w:r>
    </w:p>
    <w:p>
      <w:pPr>
        <w:pStyle w:val="Normal"/>
        <w:spacing w:before="0" w:after="0"/>
        <w:rPr>
          <w:b/>
          <w:b/>
          <w:smallCaps/>
          <w:color w:val="000000"/>
        </w:rPr>
      </w:pPr>
      <w:r>
        <w:rPr/>
        <w:drawing>
          <wp:inline distT="0" distB="0" distL="0" distR="0">
            <wp:extent cx="5731510" cy="1231265"/>
            <wp:effectExtent l="0" t="0" r="0" b="0"/>
            <wp:docPr id="8"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2" descr=""/>
                    <pic:cNvPicPr>
                      <a:picLocks noChangeAspect="1" noChangeArrowheads="1"/>
                    </pic:cNvPicPr>
                  </pic:nvPicPr>
                  <pic:blipFill>
                    <a:blip r:embed="rId21"/>
                    <a:stretch>
                      <a:fillRect/>
                    </a:stretch>
                  </pic:blipFill>
                  <pic:spPr bwMode="auto">
                    <a:xfrm>
                      <a:off x="0" y="0"/>
                      <a:ext cx="5731510" cy="1231265"/>
                    </a:xfrm>
                    <a:prstGeom prst="rect">
                      <a:avLst/>
                    </a:prstGeom>
                  </pic:spPr>
                </pic:pic>
              </a:graphicData>
            </a:graphic>
          </wp:inline>
        </w:drawing>
      </w:r>
      <w:r>
        <w:br w:type="page"/>
      </w:r>
    </w:p>
    <w:p>
      <w:pPr>
        <w:pStyle w:val="Normal"/>
        <w:keepNext w:val="true"/>
        <w:spacing w:before="0" w:after="0"/>
        <w:jc w:val="center"/>
        <w:rPr>
          <w:b/>
          <w:b/>
          <w:smallCaps/>
          <w:color w:val="000000"/>
        </w:rPr>
      </w:pPr>
      <w:r>
        <w:rPr>
          <w:b/>
          <w:smallCaps/>
          <w:color w:val="000000"/>
        </w:rPr>
        <w:t xml:space="preserve">RETURNABLE BID SCHEDULE 4 </w:t>
      </w:r>
    </w:p>
    <w:p>
      <w:pPr>
        <w:pStyle w:val="Normal"/>
        <w:keepNext w:val="true"/>
        <w:spacing w:before="0" w:after="0"/>
        <w:jc w:val="center"/>
        <w:rPr>
          <w:b/>
          <w:b/>
          <w:smallCaps/>
          <w:color w:val="000000"/>
        </w:rPr>
      </w:pPr>
      <w:r>
        <w:rPr>
          <w:b/>
          <w:smallCaps/>
          <w:color w:val="000000"/>
        </w:rPr>
      </w:r>
    </w:p>
    <w:p>
      <w:pPr>
        <w:pStyle w:val="Normal"/>
        <w:keepNext w:val="true"/>
        <w:spacing w:before="0" w:after="0"/>
        <w:jc w:val="center"/>
        <w:rPr>
          <w:b/>
          <w:b/>
          <w:smallCaps/>
          <w:color w:val="000000"/>
        </w:rPr>
      </w:pPr>
      <w:r>
        <w:rPr>
          <w:b/>
          <w:smallCaps/>
          <w:color w:val="000000"/>
        </w:rPr>
        <w:t>BIDDER PRELIMINARY PROGRAMME</w:t>
      </w:r>
    </w:p>
    <w:p>
      <w:pPr>
        <w:pStyle w:val="Normal"/>
        <w:spacing w:before="0" w:after="0"/>
        <w:jc w:val="center"/>
        <w:rPr>
          <w:b/>
          <w:b/>
          <w:smallCaps/>
        </w:rPr>
      </w:pPr>
      <w:r>
        <w:rPr>
          <w:b/>
          <w:smallCaps/>
        </w:rPr>
        <w:t>AND</w:t>
      </w:r>
    </w:p>
    <w:p>
      <w:pPr>
        <w:pStyle w:val="Normal"/>
        <w:spacing w:before="0" w:after="0"/>
        <w:jc w:val="center"/>
        <w:rPr>
          <w:b/>
          <w:b/>
          <w:smallCaps/>
        </w:rPr>
      </w:pPr>
      <w:r>
        <w:rPr>
          <w:b/>
          <w:smallCaps/>
        </w:rPr>
        <w:t>OUTLINE STATEMENT OF PROPOSED METHODS</w:t>
      </w:r>
    </w:p>
    <w:p>
      <w:pPr>
        <w:pStyle w:val="Normal"/>
        <w:spacing w:before="0" w:after="0"/>
        <w:rPr>
          <w:color w:val="000000"/>
        </w:rPr>
      </w:pPr>
      <w:r>
        <w:rPr>
          <w:color w:val="000000"/>
        </w:rPr>
      </w:r>
    </w:p>
    <w:p>
      <w:pPr>
        <w:pStyle w:val="Normal"/>
        <w:spacing w:before="0" w:after="0"/>
        <w:rPr>
          <w:color w:val="000000"/>
        </w:rPr>
      </w:pPr>
      <w:r>
        <w:rPr>
          <w:color w:val="000000"/>
        </w:rPr>
        <w:t>ITB Case No.:______________________________________________________________</w:t>
      </w:r>
    </w:p>
    <w:p>
      <w:pPr>
        <w:pStyle w:val="Normal"/>
        <w:spacing w:before="0" w:after="0"/>
        <w:rPr>
          <w:color w:val="000000"/>
        </w:rPr>
      </w:pPr>
      <w:r>
        <w:rPr>
          <w:color w:val="000000"/>
        </w:rPr>
      </w:r>
    </w:p>
    <w:p>
      <w:pPr>
        <w:pStyle w:val="Normal"/>
        <w:spacing w:before="0" w:after="0"/>
        <w:rPr>
          <w:color w:val="000000"/>
        </w:rPr>
      </w:pPr>
      <w:r>
        <w:rPr>
          <w:color w:val="000000"/>
        </w:rPr>
        <w:t>Name of bidder: 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Date: ____________________________________________________________________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Signature: ________________________________________________________________</w:t>
      </w:r>
    </w:p>
    <w:p>
      <w:pPr>
        <w:pStyle w:val="Heading3"/>
        <w:spacing w:before="0" w:after="0"/>
        <w:jc w:val="both"/>
        <w:rPr>
          <w:rFonts w:ascii="Arial" w:hAnsi="Arial" w:eastAsia="Arial" w:cs="Arial"/>
          <w:b w:val="false"/>
          <w:b w:val="false"/>
          <w:i/>
          <w:i/>
          <w:color w:val="000000"/>
          <w:sz w:val="22"/>
          <w:szCs w:val="22"/>
          <w:u w:val="single"/>
        </w:rPr>
      </w:pPr>
      <w:r>
        <w:rPr>
          <w:rFonts w:eastAsia="Arial" w:cs="Arial" w:ascii="Arial" w:hAnsi="Arial"/>
          <w:b w:val="false"/>
          <w:i/>
          <w:color w:val="000000"/>
          <w:sz w:val="22"/>
          <w:szCs w:val="22"/>
          <w:u w:val="single"/>
        </w:rPr>
      </w:r>
    </w:p>
    <w:p>
      <w:pPr>
        <w:pStyle w:val="Heading3"/>
        <w:spacing w:before="0" w:after="0"/>
        <w:jc w:val="both"/>
        <w:rPr>
          <w:rFonts w:ascii="Arial" w:hAnsi="Arial" w:eastAsia="Arial" w:cs="Arial"/>
          <w:b w:val="false"/>
          <w:b w:val="false"/>
          <w:i/>
          <w:i/>
          <w:color w:val="000000"/>
          <w:sz w:val="22"/>
          <w:szCs w:val="22"/>
        </w:rPr>
      </w:pPr>
      <w:r>
        <w:rPr>
          <w:rFonts w:eastAsia="Arial" w:cs="Arial" w:ascii="Arial" w:hAnsi="Arial"/>
          <w:b w:val="false"/>
          <w:i/>
          <w:color w:val="000000"/>
          <w:sz w:val="22"/>
          <w:szCs w:val="22"/>
          <w:u w:val="single"/>
        </w:rPr>
        <w:t>Note to bidders</w:t>
      </w:r>
      <w:r>
        <w:rPr>
          <w:rFonts w:eastAsia="Arial" w:cs="Arial" w:ascii="Arial" w:hAnsi="Arial"/>
          <w:b w:val="false"/>
          <w:i/>
          <w:color w:val="000000"/>
          <w:sz w:val="22"/>
          <w:szCs w:val="22"/>
        </w:rPr>
        <w:t xml:space="preserve">: Bidders shall submit a preliminary programme and an outline statement of methods to ensure the good and timely implementation of the works.  </w:t>
      </w:r>
    </w:p>
    <w:p>
      <w:pPr>
        <w:pStyle w:val="Heading3"/>
        <w:spacing w:before="0" w:after="0"/>
        <w:jc w:val="both"/>
        <w:rPr>
          <w:rFonts w:ascii="Arial" w:hAnsi="Arial" w:eastAsia="Arial" w:cs="Arial"/>
          <w:b w:val="false"/>
          <w:b w:val="false"/>
          <w:i/>
          <w:i/>
          <w:color w:val="000000"/>
          <w:sz w:val="22"/>
          <w:szCs w:val="22"/>
        </w:rPr>
      </w:pPr>
      <w:r>
        <w:rPr>
          <w:rFonts w:eastAsia="Arial" w:cs="Arial" w:ascii="Arial" w:hAnsi="Arial"/>
          <w:b w:val="false"/>
          <w:i/>
          <w:color w:val="000000"/>
          <w:sz w:val="22"/>
          <w:szCs w:val="22"/>
        </w:rPr>
        <w:t>Bidders are required to make their own detailed assessment of the time, work methods and activities that shall be required for the successful and timely completion of the works, including obtaining all required authorizations from local authorities.</w:t>
      </w:r>
    </w:p>
    <w:p>
      <w:pPr>
        <w:pStyle w:val="Normal"/>
        <w:spacing w:before="0" w:after="0"/>
        <w:jc w:val="both"/>
        <w:rPr>
          <w:color w:val="000000"/>
        </w:rPr>
      </w:pPr>
      <w:r>
        <w:rPr>
          <w:color w:val="000000"/>
        </w:rPr>
      </w:r>
    </w:p>
    <w:p>
      <w:pPr>
        <w:pStyle w:val="Normal"/>
        <w:spacing w:before="0" w:after="0"/>
        <w:jc w:val="both"/>
        <w:rPr>
          <w:color w:val="000000"/>
        </w:rPr>
      </w:pPr>
      <w:r>
        <w:rPr>
          <w:color w:val="000000"/>
        </w:rPr>
        <w:t>If a bidder is selected as the preferred bidder, it shall be required to further develop and complete this programme in accordance with the Minor Works Contract.</w:t>
      </w:r>
    </w:p>
    <w:p>
      <w:pPr>
        <w:pStyle w:val="Normal"/>
        <w:spacing w:before="0" w:after="0"/>
        <w:jc w:val="both"/>
        <w:rPr>
          <w:color w:val="000000"/>
        </w:rPr>
      </w:pPr>
      <w:r>
        <w:rPr>
          <w:color w:val="000000"/>
        </w:rPr>
      </w:r>
    </w:p>
    <w:p>
      <w:pPr>
        <w:pStyle w:val="Normal"/>
        <w:spacing w:before="0" w:after="0"/>
        <w:rPr>
          <w:smallCaps/>
          <w:color w:val="000000"/>
        </w:rPr>
      </w:pPr>
      <w:r>
        <w:rPr>
          <w:smallCaps/>
          <w:color w:val="000000"/>
        </w:rPr>
      </w:r>
      <w:r>
        <w:br w:type="page"/>
      </w:r>
    </w:p>
    <w:p>
      <w:pPr>
        <w:pStyle w:val="Normal"/>
        <w:keepNext w:val="true"/>
        <w:spacing w:before="0" w:after="0"/>
        <w:jc w:val="center"/>
        <w:rPr>
          <w:b/>
          <w:b/>
          <w:smallCaps/>
          <w:color w:val="000000"/>
        </w:rPr>
      </w:pPr>
      <w:r>
        <w:rPr>
          <w:b/>
          <w:smallCaps/>
          <w:color w:val="000000"/>
        </w:rPr>
        <w:t>RETURNABLE BID SCHEDULE 5</w:t>
      </w:r>
    </w:p>
    <w:p>
      <w:pPr>
        <w:pStyle w:val="Normal"/>
        <w:keepNext w:val="true"/>
        <w:spacing w:before="0" w:after="0"/>
        <w:jc w:val="center"/>
        <w:rPr>
          <w:b/>
          <w:b/>
          <w:smallCaps/>
          <w:color w:val="000000"/>
        </w:rPr>
      </w:pPr>
      <w:r>
        <w:rPr>
          <w:b/>
          <w:smallCaps/>
          <w:color w:val="000000"/>
        </w:rPr>
      </w:r>
    </w:p>
    <w:p>
      <w:pPr>
        <w:pStyle w:val="Normal"/>
        <w:keepNext w:val="true"/>
        <w:spacing w:before="0" w:after="0"/>
        <w:jc w:val="center"/>
        <w:rPr>
          <w:b/>
          <w:b/>
          <w:smallCaps/>
          <w:color w:val="000000"/>
        </w:rPr>
      </w:pPr>
      <w:r>
        <w:rPr>
          <w:b/>
          <w:smallCaps/>
          <w:color w:val="000000"/>
        </w:rPr>
        <w:t xml:space="preserve">PROPOSED PROJECT TEAM </w:t>
      </w:r>
    </w:p>
    <w:p>
      <w:pPr>
        <w:pStyle w:val="Normal"/>
        <w:spacing w:before="0" w:after="0"/>
        <w:rPr>
          <w:b/>
          <w:b/>
          <w:smallCaps/>
          <w:color w:val="000000"/>
        </w:rPr>
      </w:pPr>
      <w:r>
        <w:rPr>
          <w:b/>
          <w:smallCaps/>
          <w:color w:val="000000"/>
        </w:rPr>
      </w:r>
    </w:p>
    <w:p>
      <w:pPr>
        <w:pStyle w:val="Normal"/>
        <w:spacing w:before="0" w:after="0"/>
        <w:rPr>
          <w:color w:val="000000"/>
        </w:rPr>
      </w:pPr>
      <w:r>
        <w:rPr>
          <w:color w:val="000000"/>
        </w:rPr>
        <w:t>ITB Case No.:______________________________________________________________</w:t>
      </w:r>
    </w:p>
    <w:p>
      <w:pPr>
        <w:pStyle w:val="Normal"/>
        <w:spacing w:before="0" w:after="0"/>
        <w:rPr>
          <w:color w:val="000000"/>
        </w:rPr>
      </w:pPr>
      <w:r>
        <w:rPr>
          <w:color w:val="000000"/>
        </w:rPr>
      </w:r>
    </w:p>
    <w:p>
      <w:pPr>
        <w:pStyle w:val="Normal"/>
        <w:spacing w:before="0" w:after="0"/>
        <w:rPr>
          <w:color w:val="000000"/>
        </w:rPr>
      </w:pPr>
      <w:r>
        <w:rPr>
          <w:color w:val="000000"/>
        </w:rPr>
        <w:t>Name of bidder: 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Date: ____________________________________________________________________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Signature: ________________________________________________________________</w:t>
      </w:r>
    </w:p>
    <w:p>
      <w:pPr>
        <w:pStyle w:val="Normal"/>
        <w:keepNext w:val="true"/>
        <w:spacing w:before="0" w:after="0"/>
        <w:jc w:val="both"/>
        <w:rPr>
          <w:color w:val="000000"/>
        </w:rPr>
      </w:pPr>
      <w:r>
        <w:rPr>
          <w:color w:val="000000"/>
        </w:rPr>
      </w:r>
    </w:p>
    <w:p>
      <w:pPr>
        <w:pStyle w:val="Normal"/>
        <w:keepNext w:val="true"/>
        <w:spacing w:before="0" w:after="0"/>
        <w:jc w:val="both"/>
        <w:rPr>
          <w:i/>
          <w:i/>
          <w:color w:val="000000"/>
        </w:rPr>
      </w:pPr>
      <w:r>
        <w:rPr>
          <w:i/>
          <w:color w:val="000000"/>
        </w:rPr>
      </w:r>
    </w:p>
    <w:p>
      <w:pPr>
        <w:pStyle w:val="Normal"/>
        <w:keepNext w:val="true"/>
        <w:spacing w:before="0" w:after="0"/>
        <w:jc w:val="both"/>
        <w:rPr>
          <w:i/>
          <w:i/>
          <w:color w:val="000000"/>
        </w:rPr>
      </w:pPr>
      <w:r>
        <w:rPr>
          <w:i/>
          <w:color w:val="000000"/>
          <w:u w:val="single"/>
        </w:rPr>
        <w:t>Note to bidders</w:t>
      </w:r>
      <w:r>
        <w:rPr>
          <w:i/>
          <w:color w:val="000000"/>
        </w:rPr>
        <w:t>: Bidders shall set out below:</w:t>
      </w:r>
    </w:p>
    <w:p>
      <w:pPr>
        <w:pStyle w:val="Normal"/>
        <w:keepNext w:val="true"/>
        <w:spacing w:before="0" w:after="0"/>
        <w:jc w:val="both"/>
        <w:rPr>
          <w:i/>
          <w:i/>
          <w:color w:val="000000"/>
        </w:rPr>
      </w:pPr>
      <w:r>
        <w:rPr>
          <w:i/>
          <w:color w:val="000000"/>
        </w:rPr>
      </w:r>
    </w:p>
    <w:p>
      <w:pPr>
        <w:pStyle w:val="Normal"/>
        <w:numPr>
          <w:ilvl w:val="0"/>
          <w:numId w:val="3"/>
        </w:numPr>
        <w:spacing w:before="0" w:after="0"/>
        <w:jc w:val="both"/>
        <w:rPr>
          <w:i/>
          <w:i/>
          <w:color w:val="000000"/>
        </w:rPr>
      </w:pPr>
      <w:r>
        <w:rPr>
          <w:i/>
          <w:color w:val="000000"/>
        </w:rPr>
        <w:t>the key personnel that the bidder proposes to assign to the execution of the works;</w:t>
      </w:r>
    </w:p>
    <w:p>
      <w:pPr>
        <w:pStyle w:val="Normal"/>
        <w:spacing w:before="0" w:after="0"/>
        <w:ind w:left="720" w:hanging="0"/>
        <w:jc w:val="both"/>
        <w:rPr>
          <w:i/>
          <w:i/>
          <w:color w:val="000000"/>
        </w:rPr>
      </w:pPr>
      <w:r>
        <w:rPr>
          <w:i/>
          <w:color w:val="000000"/>
        </w:rPr>
      </w:r>
    </w:p>
    <w:p>
      <w:pPr>
        <w:pStyle w:val="Normal"/>
        <w:numPr>
          <w:ilvl w:val="0"/>
          <w:numId w:val="3"/>
        </w:numPr>
        <w:spacing w:before="0" w:after="0"/>
        <w:jc w:val="both"/>
        <w:rPr>
          <w:i/>
          <w:i/>
          <w:color w:val="000000"/>
        </w:rPr>
      </w:pPr>
      <w:r>
        <w:rPr>
          <w:i/>
          <w:color w:val="000000"/>
        </w:rPr>
        <w:t>the qualifications and relevant experience of each of the key personnel that the bidder proposes to assign to the execution of the works, including a CV/resume for each of the key personnel;</w:t>
      </w:r>
    </w:p>
    <w:p>
      <w:pPr>
        <w:pStyle w:val="Normal"/>
        <w:spacing w:before="0" w:after="0"/>
        <w:jc w:val="both"/>
        <w:rPr>
          <w:i/>
          <w:i/>
          <w:color w:val="000000"/>
        </w:rPr>
      </w:pPr>
      <w:r>
        <w:rPr>
          <w:i/>
          <w:color w:val="000000"/>
        </w:rPr>
      </w:r>
    </w:p>
    <w:p>
      <w:pPr>
        <w:pStyle w:val="Normal"/>
        <w:numPr>
          <w:ilvl w:val="0"/>
          <w:numId w:val="3"/>
        </w:numPr>
        <w:spacing w:before="0" w:after="0"/>
        <w:jc w:val="both"/>
        <w:rPr>
          <w:i/>
          <w:i/>
          <w:color w:val="000000"/>
        </w:rPr>
      </w:pPr>
      <w:r>
        <w:rPr>
          <w:i/>
          <w:color w:val="000000"/>
        </w:rPr>
        <w:t>the bidder’s representatives who are authorized to sign the Contract.  The bidder shall provide a copy of such authorization</w:t>
      </w:r>
    </w:p>
    <w:p>
      <w:pPr>
        <w:pStyle w:val="Normal"/>
        <w:spacing w:before="0" w:after="0"/>
        <w:ind w:left="720" w:hanging="0"/>
        <w:jc w:val="both"/>
        <w:rPr>
          <w:color w:val="000000"/>
        </w:rPr>
      </w:pPr>
      <w:r>
        <w:rPr>
          <w:color w:val="000000"/>
        </w:rPr>
      </w:r>
    </w:p>
    <w:p>
      <w:pPr>
        <w:pStyle w:val="Normal"/>
        <w:spacing w:before="0" w:after="0"/>
        <w:ind w:firstLine="630"/>
        <w:jc w:val="both"/>
        <w:rPr>
          <w:b/>
          <w:b/>
          <w:color w:val="000000"/>
        </w:rPr>
      </w:pPr>
      <w:r>
        <w:rPr>
          <w:b/>
          <w:color w:val="000000"/>
        </w:rPr>
        <w:t>Key Personnel</w:t>
      </w:r>
    </w:p>
    <w:p>
      <w:pPr>
        <w:pStyle w:val="Normal"/>
        <w:spacing w:before="0" w:after="0"/>
        <w:ind w:left="1440" w:hanging="0"/>
        <w:jc w:val="both"/>
        <w:rPr>
          <w:color w:val="000000"/>
        </w:rPr>
      </w:pPr>
      <w:r>
        <w:rPr>
          <w:color w:val="000000"/>
        </w:rPr>
      </w:r>
    </w:p>
    <w:tbl>
      <w:tblPr>
        <w:tblStyle w:val="ac"/>
        <w:tblW w:w="900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630"/>
        <w:gridCol w:w="3060"/>
        <w:gridCol w:w="3690"/>
        <w:gridCol w:w="1619"/>
      </w:tblGrid>
      <w:tr>
        <w:trPr/>
        <w:tc>
          <w:tcPr>
            <w:tcW w:w="630"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jc w:val="center"/>
              <w:rPr>
                <w:b/>
                <w:b/>
                <w:color w:val="000000"/>
              </w:rPr>
            </w:pPr>
            <w:r>
              <w:rPr>
                <w:b/>
                <w:color w:val="000000"/>
              </w:rPr>
              <w:t>No.</w:t>
            </w:r>
          </w:p>
        </w:tc>
        <w:tc>
          <w:tcPr>
            <w:tcW w:w="3060"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jc w:val="center"/>
              <w:rPr>
                <w:b/>
                <w:b/>
                <w:color w:val="000000"/>
              </w:rPr>
            </w:pPr>
            <w:r>
              <w:rPr>
                <w:b/>
                <w:color w:val="000000"/>
              </w:rPr>
              <w:t>Position Description</w:t>
            </w:r>
          </w:p>
        </w:tc>
        <w:tc>
          <w:tcPr>
            <w:tcW w:w="3690"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jc w:val="center"/>
              <w:rPr>
                <w:b/>
                <w:b/>
                <w:color w:val="000000"/>
              </w:rPr>
            </w:pPr>
            <w:r>
              <w:rPr>
                <w:b/>
                <w:color w:val="000000"/>
              </w:rPr>
              <w:t>Name</w:t>
            </w:r>
          </w:p>
        </w:tc>
        <w:tc>
          <w:tcPr>
            <w:tcW w:w="1619"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jc w:val="center"/>
              <w:rPr>
                <w:b/>
                <w:b/>
                <w:color w:val="000000"/>
              </w:rPr>
            </w:pPr>
            <w:r>
              <w:rPr>
                <w:b/>
                <w:color w:val="000000"/>
              </w:rPr>
              <w:t>Years Exp</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1</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b/>
                <w:b/>
                <w:color w:val="000000"/>
              </w:rPr>
            </w:pPr>
            <w:r>
              <w:rPr>
                <w:b/>
                <w:color w:val="000000"/>
              </w:rPr>
              <w:t>[</w:t>
            </w:r>
            <w:r>
              <w:rPr>
                <w:b/>
                <w:i/>
                <w:color w:val="000000"/>
                <w:highlight w:val="cyan"/>
              </w:rPr>
              <w:t>Insert Description</w:t>
            </w:r>
            <w:r>
              <w:rPr>
                <w:b/>
                <w:color w:val="000000"/>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b/>
                <w:b/>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2</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Description</w:t>
            </w:r>
            <w:r>
              <w:rPr>
                <w:color w:val="000000"/>
                <w:highlight w:val="cyan"/>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3</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Description</w:t>
            </w:r>
            <w:r>
              <w:rPr>
                <w:color w:val="000000"/>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4</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Description</w:t>
            </w:r>
            <w:r>
              <w:rPr>
                <w:color w:val="000000"/>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5</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Description</w:t>
            </w:r>
            <w:r>
              <w:rPr>
                <w:color w:val="000000"/>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6</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Description</w:t>
            </w:r>
            <w:r>
              <w:rPr>
                <w:color w:val="000000"/>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7</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Description</w:t>
            </w:r>
            <w:r>
              <w:rPr>
                <w:color w:val="000000"/>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8</w:t>
            </w:r>
          </w:p>
        </w:tc>
        <w:tc>
          <w:tcPr>
            <w:tcW w:w="30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Description</w:t>
            </w:r>
            <w:r>
              <w:rPr>
                <w:color w:val="000000"/>
              </w:rPr>
              <w:t>]</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highlight w:val="cyan"/>
              </w:rPr>
              <w:t>]</w:t>
            </w:r>
          </w:p>
        </w:tc>
      </w:tr>
    </w:tbl>
    <w:p>
      <w:pPr>
        <w:pStyle w:val="Normal"/>
        <w:spacing w:before="0" w:after="0"/>
        <w:jc w:val="both"/>
        <w:rPr>
          <w:color w:val="000000"/>
        </w:rPr>
      </w:pPr>
      <w:r>
        <w:rPr>
          <w:color w:val="000000"/>
        </w:rPr>
      </w:r>
    </w:p>
    <w:p>
      <w:pPr>
        <w:pStyle w:val="Normal"/>
        <w:keepNext w:val="true"/>
        <w:spacing w:before="0" w:after="0"/>
        <w:jc w:val="both"/>
        <w:rPr>
          <w:color w:val="000000"/>
        </w:rPr>
      </w:pPr>
      <w:r>
        <w:rPr>
          <w:color w:val="000000"/>
        </w:rPr>
        <w:t>Contractor's Representative as per the Contract:</w:t>
      </w:r>
    </w:p>
    <w:p>
      <w:pPr>
        <w:pStyle w:val="Normal"/>
        <w:keepNext w:val="true"/>
        <w:spacing w:before="0" w:after="0"/>
        <w:ind w:left="720" w:hanging="0"/>
        <w:jc w:val="both"/>
        <w:rPr>
          <w:color w:val="000000"/>
        </w:rPr>
      </w:pPr>
      <w:r>
        <w:rPr>
          <w:color w:val="000000"/>
        </w:rPr>
      </w:r>
    </w:p>
    <w:tbl>
      <w:tblPr>
        <w:tblStyle w:val="ad"/>
        <w:tblW w:w="900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630"/>
        <w:gridCol w:w="2952"/>
        <w:gridCol w:w="3690"/>
        <w:gridCol w:w="1727"/>
      </w:tblGrid>
      <w:tr>
        <w:trPr/>
        <w:tc>
          <w:tcPr>
            <w:tcW w:w="630"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rPr>
                <w:b/>
                <w:b/>
                <w:color w:val="000000"/>
              </w:rPr>
            </w:pPr>
            <w:r>
              <w:rPr>
                <w:b/>
                <w:color w:val="000000"/>
              </w:rPr>
              <w:t>No.</w:t>
            </w:r>
          </w:p>
        </w:tc>
        <w:tc>
          <w:tcPr>
            <w:tcW w:w="2952"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jc w:val="center"/>
              <w:rPr>
                <w:b/>
                <w:b/>
                <w:color w:val="000000"/>
              </w:rPr>
            </w:pPr>
            <w:r>
              <w:rPr>
                <w:b/>
                <w:color w:val="000000"/>
              </w:rPr>
              <w:t>Position Description</w:t>
            </w:r>
          </w:p>
        </w:tc>
        <w:tc>
          <w:tcPr>
            <w:tcW w:w="3690"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jc w:val="center"/>
              <w:rPr>
                <w:b/>
                <w:b/>
                <w:color w:val="000000"/>
              </w:rPr>
            </w:pPr>
            <w:r>
              <w:rPr>
                <w:b/>
                <w:color w:val="000000"/>
              </w:rPr>
              <w:t>Name</w:t>
            </w:r>
          </w:p>
        </w:tc>
        <w:tc>
          <w:tcPr>
            <w:tcW w:w="1727"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before="0" w:after="0"/>
              <w:jc w:val="center"/>
              <w:rPr>
                <w:b/>
                <w:b/>
                <w:color w:val="000000"/>
              </w:rPr>
            </w:pPr>
            <w:r>
              <w:rPr>
                <w:b/>
                <w:color w:val="000000"/>
              </w:rPr>
              <w:t>Years Exp</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color w:val="000000"/>
              </w:rPr>
            </w:pPr>
            <w:r>
              <w:rPr>
                <w:color w:val="000000"/>
              </w:rPr>
              <w:t>1</w:t>
            </w:r>
          </w:p>
        </w:tc>
        <w:tc>
          <w:tcPr>
            <w:tcW w:w="295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Contractors Representative</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b/>
                <w:color w:val="000000"/>
              </w:rPr>
              <w:t>[</w:t>
            </w:r>
            <w:r>
              <w:rPr>
                <w:b/>
                <w:i/>
                <w:color w:val="000000"/>
                <w:highlight w:val="cyan"/>
              </w:rPr>
              <w:t>Insert Name</w:t>
            </w:r>
            <w:r>
              <w:rPr>
                <w:b/>
                <w:color w:val="000000"/>
              </w:rPr>
              <w:t>]</w:t>
            </w:r>
          </w:p>
        </w:tc>
        <w:tc>
          <w:tcPr>
            <w:tcW w:w="17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color w:val="000000"/>
              </w:rPr>
            </w:pPr>
            <w:r>
              <w:rPr>
                <w:color w:val="000000"/>
              </w:rPr>
              <w:t>[</w:t>
            </w:r>
            <w:r>
              <w:rPr>
                <w:b/>
                <w:i/>
                <w:color w:val="000000"/>
                <w:highlight w:val="cyan"/>
              </w:rPr>
              <w:t>Insert No.</w:t>
            </w:r>
            <w:r>
              <w:rPr>
                <w:color w:val="000000"/>
              </w:rPr>
              <w:t>]</w:t>
            </w:r>
          </w:p>
        </w:tc>
      </w:tr>
    </w:tbl>
    <w:p>
      <w:pPr>
        <w:pStyle w:val="Normal"/>
        <w:spacing w:before="0" w:after="0"/>
        <w:rPr>
          <w:color w:val="000000"/>
        </w:rPr>
      </w:pPr>
      <w:r>
        <w:rPr>
          <w:color w:val="000000"/>
        </w:rPr>
      </w:r>
    </w:p>
    <w:p>
      <w:pPr>
        <w:pStyle w:val="SectionVHeader"/>
        <w:ind w:left="187" w:right="288" w:hanging="0"/>
        <w:rPr>
          <w:rStyle w:val="Table"/>
          <w:rFonts w:eastAsia="" w:cs="Arial" w:eastAsiaTheme="majorEastAsia"/>
          <w:spacing w:val="-2"/>
          <w:sz w:val="22"/>
          <w:szCs w:val="22"/>
          <w:lang w:val="en-US"/>
        </w:rPr>
      </w:pPr>
      <w:r>
        <w:rPr>
          <w:rFonts w:eastAsia="" w:cs="Arial" w:eastAsiaTheme="majorEastAsia"/>
          <w:spacing w:val="-2"/>
          <w:sz w:val="22"/>
          <w:szCs w:val="22"/>
          <w:lang w:val="en-US"/>
        </w:rPr>
      </w:r>
      <w:r>
        <w:br w:type="page"/>
      </w:r>
    </w:p>
    <w:p>
      <w:pPr>
        <w:pStyle w:val="SectionVHeader"/>
        <w:ind w:left="187" w:right="288" w:hanging="0"/>
        <w:rPr>
          <w:rFonts w:cs="Arial"/>
          <w:spacing w:val="-2"/>
          <w:sz w:val="22"/>
          <w:szCs w:val="22"/>
          <w:lang w:val="en-US"/>
        </w:rPr>
      </w:pPr>
      <w:r>
        <w:rPr>
          <w:rStyle w:val="Table"/>
          <w:rFonts w:eastAsia="" w:cs="Arial" w:eastAsiaTheme="majorEastAsia"/>
          <w:spacing w:val="-2"/>
          <w:sz w:val="22"/>
          <w:szCs w:val="22"/>
          <w:lang w:val="en-US"/>
        </w:rPr>
        <w:t>PERSONNEL &amp; RESUME FORM</w:t>
      </w:r>
    </w:p>
    <w:p>
      <w:pPr>
        <w:pStyle w:val="SectionVHeader"/>
        <w:ind w:right="288" w:hanging="0"/>
        <w:jc w:val="left"/>
        <w:rPr>
          <w:rFonts w:cs="Arial"/>
          <w:b w:val="false"/>
          <w:b w:val="false"/>
          <w:sz w:val="22"/>
          <w:szCs w:val="22"/>
          <w:lang w:val="en-GB"/>
        </w:rPr>
      </w:pPr>
      <w:r>
        <w:rPr>
          <w:rFonts w:cs="Arial"/>
          <w:b w:val="false"/>
          <w:sz w:val="22"/>
          <w:szCs w:val="22"/>
          <w:lang w:val="en-GB"/>
        </w:rPr>
      </w:r>
    </w:p>
    <w:p>
      <w:pPr>
        <w:pStyle w:val="SectionVHeader"/>
        <w:spacing w:before="0" w:after="240"/>
        <w:ind w:right="288" w:hanging="0"/>
        <w:jc w:val="left"/>
        <w:rPr>
          <w:rFonts w:cs="Arial"/>
          <w:b w:val="false"/>
          <w:b w:val="false"/>
          <w:sz w:val="22"/>
          <w:szCs w:val="22"/>
          <w:lang w:val="en-GB"/>
        </w:rPr>
      </w:pPr>
      <w:r>
        <w:rPr>
          <w:rFonts w:cs="Arial"/>
          <w:b w:val="false"/>
          <w:sz w:val="22"/>
          <w:szCs w:val="22"/>
          <w:lang w:val="en-GB"/>
        </w:rPr>
        <w:t xml:space="preserve">The Bidder shall provide details of the proposed personnel and their experience records in the following resume form: </w:t>
      </w:r>
    </w:p>
    <w:p>
      <w:pPr>
        <w:pStyle w:val="SectionVHeader"/>
        <w:ind w:right="288" w:hanging="0"/>
        <w:jc w:val="left"/>
        <w:rPr>
          <w:rStyle w:val="Table"/>
          <w:rFonts w:eastAsia="" w:cs="Arial" w:eastAsiaTheme="majorEastAsia"/>
          <w:spacing w:val="-2"/>
          <w:sz w:val="22"/>
          <w:szCs w:val="22"/>
          <w:lang w:val="en-US"/>
        </w:rPr>
      </w:pPr>
      <w:r>
        <w:rPr>
          <w:rStyle w:val="Table"/>
          <w:rFonts w:eastAsia="" w:cs="Arial" w:eastAsiaTheme="majorEastAsia"/>
          <w:spacing w:val="-2"/>
          <w:sz w:val="22"/>
          <w:szCs w:val="22"/>
        </w:rPr>
        <w:t>Use one ‘’</w:t>
      </w:r>
      <w:r>
        <w:rPr>
          <w:rStyle w:val="Table"/>
          <w:rFonts w:eastAsia="" w:cs="Arial" w:eastAsiaTheme="majorEastAsia"/>
          <w:spacing w:val="-2"/>
          <w:sz w:val="22"/>
          <w:szCs w:val="22"/>
          <w:lang w:val="en-US"/>
        </w:rPr>
        <w:t>PERSONNEL &amp; RESUME FORM’’</w:t>
      </w:r>
      <w:r>
        <w:rPr>
          <w:rFonts w:cs="Arial"/>
          <w:spacing w:val="-2"/>
          <w:sz w:val="22"/>
          <w:szCs w:val="22"/>
          <w:lang w:val="en-US"/>
        </w:rPr>
        <w:t xml:space="preserve"> </w:t>
      </w:r>
      <w:r>
        <w:rPr>
          <w:rStyle w:val="Table"/>
          <w:rFonts w:eastAsia="" w:cs="Arial" w:eastAsiaTheme="majorEastAsia"/>
          <w:spacing w:val="-2"/>
          <w:sz w:val="22"/>
          <w:szCs w:val="22"/>
        </w:rPr>
        <w:t xml:space="preserve">sheet per staff member. </w:t>
      </w:r>
    </w:p>
    <w:p>
      <w:pPr>
        <w:pStyle w:val="SectionVHeader"/>
        <w:ind w:right="288" w:hanging="0"/>
        <w:jc w:val="left"/>
        <w:rPr>
          <w:rStyle w:val="Table"/>
          <w:rFonts w:eastAsia="" w:cs="Arial" w:eastAsiaTheme="majorEastAsia"/>
          <w:b w:val="false"/>
          <w:b w:val="false"/>
          <w:spacing w:val="-2"/>
          <w:sz w:val="22"/>
          <w:szCs w:val="22"/>
        </w:rPr>
      </w:pPr>
      <w:r>
        <w:rPr>
          <w:rFonts w:eastAsia="" w:cs="Arial" w:eastAsiaTheme="majorEastAsia"/>
          <w:b w:val="false"/>
          <w:spacing w:val="-2"/>
          <w:sz w:val="22"/>
          <w:szCs w:val="22"/>
        </w:rPr>
      </w:r>
    </w:p>
    <w:tbl>
      <w:tblPr>
        <w:tblW w:w="9172" w:type="dxa"/>
        <w:jc w:val="center"/>
        <w:tblInd w:w="0" w:type="dxa"/>
        <w:tblLayout w:type="fixed"/>
        <w:tblCellMar>
          <w:top w:w="0" w:type="dxa"/>
          <w:left w:w="72" w:type="dxa"/>
          <w:bottom w:w="0" w:type="dxa"/>
          <w:right w:w="72" w:type="dxa"/>
        </w:tblCellMar>
        <w:tblLook w:firstRow="0" w:noVBand="0" w:lastRow="0" w:firstColumn="0" w:lastColumn="0" w:noHBand="0" w:val="0000"/>
      </w:tblPr>
      <w:tblGrid>
        <w:gridCol w:w="1072"/>
        <w:gridCol w:w="377"/>
        <w:gridCol w:w="656"/>
        <w:gridCol w:w="3333"/>
        <w:gridCol w:w="3734"/>
      </w:tblGrid>
      <w:tr>
        <w:trPr>
          <w:trHeight w:val="615" w:hRule="atLeast"/>
          <w:cantSplit w:val="true"/>
        </w:trPr>
        <w:tc>
          <w:tcPr>
            <w:tcW w:w="9172" w:type="dxa"/>
            <w:gridSpan w:val="5"/>
            <w:tcBorders>
              <w:top w:val="single" w:sz="6" w:space="0" w:color="000000"/>
              <w:left w:val="single" w:sz="6" w:space="0" w:color="000000"/>
              <w:right w:val="single" w:sz="6" w:space="0" w:color="000000"/>
            </w:tcBorders>
          </w:tcPr>
          <w:p>
            <w:pPr>
              <w:pStyle w:val="Normal"/>
              <w:widowControl w:val="false"/>
              <w:suppressAutoHyphens w:val="true"/>
              <w:spacing w:before="100" w:after="100"/>
              <w:jc w:val="both"/>
              <w:rPr>
                <w:rStyle w:val="Table"/>
                <w:b/>
                <w:b/>
                <w:bCs/>
                <w:iCs/>
                <w:spacing w:val="-2"/>
              </w:rPr>
            </w:pPr>
            <w:r>
              <w:rPr>
                <w:rStyle w:val="Table"/>
                <w:b/>
                <w:bCs/>
                <w:iCs/>
                <w:spacing w:val="-2"/>
              </w:rPr>
              <w:t>Position</w:t>
            </w:r>
          </w:p>
          <w:p>
            <w:pPr>
              <w:pStyle w:val="Normal"/>
              <w:widowControl w:val="false"/>
              <w:tabs>
                <w:tab w:val="clear" w:pos="720"/>
                <w:tab w:val="left" w:pos="1638" w:leader="none"/>
                <w:tab w:val="left" w:pos="1998" w:leader="none"/>
              </w:tabs>
              <w:suppressAutoHyphens w:val="true"/>
              <w:spacing w:before="100" w:after="100"/>
              <w:ind w:left="378" w:hanging="378"/>
              <w:jc w:val="both"/>
              <w:rPr>
                <w:rStyle w:val="Table"/>
                <w:b/>
                <w:b/>
                <w:bCs/>
                <w:iCs/>
                <w:spacing w:val="-2"/>
              </w:rPr>
            </w:pPr>
            <w:r>
              <w:rPr>
                <w:b/>
                <w:bCs/>
                <w:iCs/>
                <w:spacing w:val="-2"/>
              </w:rPr>
            </w:r>
          </w:p>
        </w:tc>
      </w:tr>
      <w:tr>
        <w:trPr>
          <w:trHeight w:val="516" w:hRule="atLeast"/>
          <w:cantSplit w:val="true"/>
        </w:trPr>
        <w:tc>
          <w:tcPr>
            <w:tcW w:w="1449" w:type="dxa"/>
            <w:gridSpan w:val="2"/>
            <w:tcBorders>
              <w:top w:val="single" w:sz="6" w:space="0" w:color="000000"/>
              <w:left w:val="single" w:sz="6" w:space="0" w:color="000000"/>
            </w:tcBorders>
          </w:tcPr>
          <w:p>
            <w:pPr>
              <w:pStyle w:val="Normal"/>
              <w:widowControl w:val="false"/>
              <w:suppressAutoHyphens w:val="true"/>
              <w:spacing w:before="100" w:after="100"/>
              <w:jc w:val="both"/>
              <w:rPr>
                <w:rStyle w:val="Table"/>
                <w:b/>
                <w:b/>
                <w:bCs/>
                <w:iCs/>
                <w:spacing w:val="-2"/>
              </w:rPr>
            </w:pPr>
            <w:r>
              <w:rPr>
                <w:rStyle w:val="Table"/>
                <w:b/>
                <w:bCs/>
                <w:iCs/>
                <w:spacing w:val="-2"/>
              </w:rPr>
              <w:t>Personnel information</w:t>
            </w:r>
          </w:p>
        </w:tc>
        <w:tc>
          <w:tcPr>
            <w:tcW w:w="3989" w:type="dxa"/>
            <w:gridSpan w:val="2"/>
            <w:tcBorders>
              <w:top w:val="single" w:sz="6" w:space="0" w:color="000000"/>
              <w:left w:val="single" w:sz="6" w:space="0" w:color="000000"/>
            </w:tcBorders>
          </w:tcPr>
          <w:p>
            <w:pPr>
              <w:pStyle w:val="Normal"/>
              <w:widowControl w:val="false"/>
              <w:suppressAutoHyphens w:val="true"/>
              <w:spacing w:before="100" w:after="100"/>
              <w:jc w:val="both"/>
              <w:rPr>
                <w:rStyle w:val="Table"/>
                <w:b/>
                <w:b/>
                <w:bCs/>
                <w:iCs/>
                <w:spacing w:val="-2"/>
              </w:rPr>
            </w:pPr>
            <w:r>
              <w:rPr>
                <w:rStyle w:val="Table"/>
                <w:b/>
                <w:bCs/>
                <w:iCs/>
                <w:spacing w:val="-2"/>
              </w:rPr>
              <w:t xml:space="preserve">Name </w:t>
            </w:r>
          </w:p>
          <w:p>
            <w:pPr>
              <w:pStyle w:val="Normal"/>
              <w:widowControl w:val="false"/>
              <w:suppressAutoHyphens w:val="true"/>
              <w:spacing w:before="100" w:after="100"/>
              <w:jc w:val="both"/>
              <w:rPr>
                <w:rStyle w:val="Table"/>
                <w:b/>
                <w:b/>
                <w:bCs/>
                <w:iCs/>
                <w:spacing w:val="-2"/>
              </w:rPr>
            </w:pPr>
            <w:r>
              <w:rPr>
                <w:b/>
                <w:bCs/>
                <w:iCs/>
                <w:spacing w:val="-2"/>
              </w:rPr>
            </w:r>
          </w:p>
        </w:tc>
        <w:tc>
          <w:tcPr>
            <w:tcW w:w="3734" w:type="dxa"/>
            <w:tcBorders>
              <w:top w:val="single" w:sz="6" w:space="0" w:color="000000"/>
              <w:left w:val="single" w:sz="6" w:space="0" w:color="000000"/>
              <w:right w:val="single" w:sz="6" w:space="0" w:color="000000"/>
            </w:tcBorders>
          </w:tcPr>
          <w:p>
            <w:pPr>
              <w:pStyle w:val="Normal"/>
              <w:widowControl w:val="false"/>
              <w:suppressAutoHyphens w:val="true"/>
              <w:spacing w:before="100" w:after="100"/>
              <w:jc w:val="both"/>
              <w:rPr>
                <w:rStyle w:val="Table"/>
                <w:b/>
                <w:b/>
                <w:bCs/>
                <w:iCs/>
                <w:spacing w:val="-2"/>
              </w:rPr>
            </w:pPr>
            <w:r>
              <w:rPr>
                <w:rStyle w:val="Table"/>
                <w:b/>
                <w:bCs/>
                <w:iCs/>
                <w:spacing w:val="-2"/>
              </w:rPr>
              <w:t>Date of birth</w:t>
            </w:r>
          </w:p>
        </w:tc>
      </w:tr>
      <w:tr>
        <w:trPr>
          <w:trHeight w:val="687" w:hRule="atLeast"/>
          <w:cantSplit w:val="true"/>
        </w:trPr>
        <w:tc>
          <w:tcPr>
            <w:tcW w:w="1449" w:type="dxa"/>
            <w:gridSpan w:val="2"/>
            <w:tcBorders>
              <w:left w:val="single" w:sz="6" w:space="0" w:color="000000"/>
            </w:tcBorders>
          </w:tcPr>
          <w:p>
            <w:pPr>
              <w:pStyle w:val="Normal"/>
              <w:widowControl w:val="false"/>
              <w:suppressAutoHyphens w:val="true"/>
              <w:spacing w:before="100" w:after="100"/>
              <w:jc w:val="both"/>
              <w:rPr>
                <w:rStyle w:val="Table"/>
                <w:b/>
                <w:b/>
                <w:bCs/>
                <w:iCs/>
                <w:spacing w:val="-2"/>
              </w:rPr>
            </w:pPr>
            <w:r>
              <w:rPr>
                <w:b/>
                <w:bCs/>
                <w:iCs/>
                <w:spacing w:val="-2"/>
              </w:rPr>
            </w:r>
          </w:p>
        </w:tc>
        <w:tc>
          <w:tcPr>
            <w:tcW w:w="7723" w:type="dxa"/>
            <w:gridSpan w:val="3"/>
            <w:tcBorders>
              <w:top w:val="single" w:sz="6" w:space="0" w:color="000000"/>
              <w:left w:val="single" w:sz="6" w:space="0" w:color="000000"/>
              <w:right w:val="single" w:sz="6" w:space="0" w:color="000000"/>
            </w:tcBorders>
          </w:tcPr>
          <w:p>
            <w:pPr>
              <w:pStyle w:val="Normal"/>
              <w:widowControl w:val="false"/>
              <w:suppressAutoHyphens w:val="true"/>
              <w:spacing w:before="100" w:after="100"/>
              <w:jc w:val="both"/>
              <w:rPr>
                <w:rStyle w:val="Table"/>
                <w:b/>
                <w:b/>
                <w:bCs/>
                <w:iCs/>
                <w:spacing w:val="-2"/>
                <w:lang w:val="en-GB"/>
              </w:rPr>
            </w:pPr>
            <w:r>
              <w:rPr>
                <w:rStyle w:val="Table"/>
                <w:b/>
                <w:bCs/>
                <w:iCs/>
                <w:spacing w:val="-2"/>
              </w:rPr>
              <w:t>Professional qualifications (education)</w:t>
            </w:r>
            <w:r>
              <w:rPr>
                <w:rStyle w:val="Table"/>
                <w:b/>
                <w:bCs/>
                <w:iCs/>
                <w:spacing w:val="-2"/>
                <w:lang w:val="en-GB"/>
              </w:rPr>
              <w:t>:</w:t>
            </w:r>
          </w:p>
          <w:p>
            <w:pPr>
              <w:pStyle w:val="Normal"/>
              <w:widowControl w:val="false"/>
              <w:suppressAutoHyphens w:val="true"/>
              <w:spacing w:before="100" w:after="100"/>
              <w:jc w:val="both"/>
              <w:rPr>
                <w:rStyle w:val="Table"/>
                <w:b/>
                <w:b/>
                <w:bCs/>
                <w:iCs/>
                <w:spacing w:val="-2"/>
              </w:rPr>
            </w:pPr>
            <w:r>
              <w:rPr>
                <w:b/>
                <w:bCs/>
                <w:iCs/>
                <w:spacing w:val="-2"/>
              </w:rPr>
            </w:r>
          </w:p>
        </w:tc>
      </w:tr>
      <w:tr>
        <w:trPr>
          <w:cantSplit w:val="true"/>
        </w:trPr>
        <w:tc>
          <w:tcPr>
            <w:tcW w:w="1072" w:type="dxa"/>
            <w:tcBorders>
              <w:top w:val="single" w:sz="6" w:space="0" w:color="000000"/>
              <w:left w:val="single" w:sz="6" w:space="0" w:color="000000"/>
            </w:tcBorders>
          </w:tcPr>
          <w:p>
            <w:pPr>
              <w:pStyle w:val="Heading3"/>
              <w:widowControl w:val="false"/>
              <w:spacing w:before="240" w:after="60"/>
              <w:jc w:val="both"/>
              <w:rPr>
                <w:rStyle w:val="Table"/>
                <w:rFonts w:eastAsia="" w:cs="Arial" w:eastAsiaTheme="majorEastAsia"/>
                <w:iCs/>
                <w:sz w:val="22"/>
                <w:szCs w:val="22"/>
              </w:rPr>
            </w:pPr>
            <w:r>
              <w:rPr>
                <w:rStyle w:val="Table"/>
                <w:rFonts w:eastAsia="" w:cs="Arial" w:eastAsiaTheme="majorEastAsia"/>
                <w:iCs/>
                <w:sz w:val="22"/>
                <w:szCs w:val="22"/>
              </w:rPr>
              <w:t>From</w:t>
            </w:r>
          </w:p>
          <w:p>
            <w:pPr>
              <w:pStyle w:val="Normal"/>
              <w:widowControl w:val="false"/>
              <w:spacing w:before="100" w:after="100"/>
              <w:rPr>
                <w:lang w:val="en-GB"/>
              </w:rPr>
            </w:pPr>
            <w:r>
              <w:rPr>
                <w:lang w:val="en-GB"/>
              </w:rPr>
              <w:t>mm-yyyy</w:t>
            </w:r>
          </w:p>
        </w:tc>
        <w:tc>
          <w:tcPr>
            <w:tcW w:w="1033" w:type="dxa"/>
            <w:gridSpan w:val="2"/>
            <w:tcBorders>
              <w:top w:val="single" w:sz="6" w:space="0" w:color="000000"/>
              <w:left w:val="single" w:sz="6" w:space="0" w:color="000000"/>
            </w:tcBorders>
          </w:tcPr>
          <w:p>
            <w:pPr>
              <w:pStyle w:val="Heading3"/>
              <w:widowControl w:val="false"/>
              <w:spacing w:before="240" w:after="60"/>
              <w:jc w:val="both"/>
              <w:rPr>
                <w:rStyle w:val="Table"/>
                <w:rFonts w:eastAsia="" w:cs="Arial" w:eastAsiaTheme="majorEastAsia"/>
                <w:iCs/>
                <w:sz w:val="22"/>
                <w:szCs w:val="22"/>
              </w:rPr>
            </w:pPr>
            <w:r>
              <w:rPr>
                <w:rStyle w:val="Table"/>
                <w:rFonts w:eastAsia="" w:cs="Arial" w:eastAsiaTheme="majorEastAsia"/>
                <w:iCs/>
                <w:sz w:val="22"/>
                <w:szCs w:val="22"/>
              </w:rPr>
              <w:t>To</w:t>
            </w:r>
          </w:p>
          <w:p>
            <w:pPr>
              <w:pStyle w:val="Normal"/>
              <w:widowControl w:val="false"/>
              <w:spacing w:before="100" w:after="100"/>
              <w:rPr>
                <w:lang w:val="en-GB"/>
              </w:rPr>
            </w:pPr>
            <w:r>
              <w:rPr>
                <w:lang w:val="en-GB"/>
              </w:rPr>
              <w:t>mm-yyyy</w:t>
            </w:r>
          </w:p>
        </w:tc>
        <w:tc>
          <w:tcPr>
            <w:tcW w:w="7067" w:type="dxa"/>
            <w:gridSpan w:val="2"/>
            <w:tcBorders>
              <w:top w:val="single" w:sz="6" w:space="0" w:color="000000"/>
              <w:left w:val="single" w:sz="6" w:space="0" w:color="000000"/>
              <w:right w:val="single" w:sz="6" w:space="0" w:color="000000"/>
            </w:tcBorders>
          </w:tcPr>
          <w:p>
            <w:pPr>
              <w:pStyle w:val="Normal"/>
              <w:widowControl w:val="false"/>
              <w:spacing w:before="100" w:after="100"/>
              <w:ind w:right="108" w:hanging="0"/>
              <w:jc w:val="both"/>
              <w:rPr>
                <w:rStyle w:val="Table"/>
                <w:iCs/>
                <w:spacing w:val="-2"/>
                <w:lang w:val="en-GB"/>
              </w:rPr>
            </w:pPr>
            <w:r>
              <w:rPr>
                <w:rStyle w:val="Table"/>
                <w:b/>
                <w:iCs/>
              </w:rPr>
              <w:t>Company / Project / Position / Relevant technical and management experience</w:t>
            </w:r>
            <w:r>
              <w:rPr>
                <w:rStyle w:val="Table"/>
                <w:rFonts w:eastAsia="" w:eastAsiaTheme="majorEastAsia"/>
                <w:iCs/>
                <w:lang w:val="en-GB"/>
              </w:rPr>
              <w:t xml:space="preserve"> (</w:t>
            </w:r>
            <w:r>
              <w:rPr>
                <w:rStyle w:val="Table"/>
                <w:iCs/>
                <w:spacing w:val="-2"/>
              </w:rPr>
              <w:t xml:space="preserve">Summarize professional experience in reverse chronological order) </w:t>
            </w:r>
          </w:p>
          <w:p>
            <w:pPr>
              <w:pStyle w:val="Heading3"/>
              <w:widowControl w:val="false"/>
              <w:spacing w:before="240" w:after="60"/>
              <w:jc w:val="both"/>
              <w:rPr>
                <w:rStyle w:val="Table"/>
                <w:rFonts w:eastAsia="" w:cs="Arial" w:eastAsiaTheme="majorEastAsia"/>
                <w:iCs/>
                <w:sz w:val="22"/>
                <w:szCs w:val="22"/>
                <w:lang w:val="en-US"/>
              </w:rPr>
            </w:pPr>
            <w:r>
              <w:rPr>
                <w:rFonts w:eastAsia="" w:cs="Arial" w:eastAsiaTheme="majorEastAsia"/>
                <w:iCs/>
                <w:sz w:val="22"/>
                <w:szCs w:val="22"/>
                <w:lang w:val="en-US"/>
              </w:rPr>
            </w:r>
          </w:p>
        </w:tc>
      </w:tr>
      <w:tr>
        <w:trPr>
          <w:trHeight w:val="70" w:hRule="atLeast"/>
          <w:cantSplit w:val="true"/>
        </w:trPr>
        <w:tc>
          <w:tcPr>
            <w:tcW w:w="1072" w:type="dxa"/>
            <w:tcBorders>
              <w:left w:val="single" w:sz="6" w:space="0" w:color="000000"/>
            </w:tcBorders>
          </w:tcPr>
          <w:p>
            <w:pPr>
              <w:pStyle w:val="Normal"/>
              <w:widowControl w:val="false"/>
              <w:suppressAutoHyphens w:val="true"/>
              <w:spacing w:before="100" w:after="100"/>
              <w:jc w:val="both"/>
              <w:rPr>
                <w:rStyle w:val="Table"/>
                <w:i/>
                <w:i/>
                <w:spacing w:val="-2"/>
              </w:rPr>
            </w:pPr>
            <w:r>
              <w:rPr>
                <w:i/>
                <w:spacing w:val="-2"/>
              </w:rPr>
            </w:r>
          </w:p>
        </w:tc>
        <w:tc>
          <w:tcPr>
            <w:tcW w:w="1033" w:type="dxa"/>
            <w:gridSpan w:val="2"/>
            <w:tcBorders>
              <w:left w:val="single" w:sz="6" w:space="0" w:color="000000"/>
            </w:tcBorders>
          </w:tcPr>
          <w:p>
            <w:pPr>
              <w:pStyle w:val="Normal"/>
              <w:widowControl w:val="false"/>
              <w:suppressAutoHyphens w:val="true"/>
              <w:spacing w:before="100" w:after="100"/>
              <w:jc w:val="both"/>
              <w:rPr>
                <w:rStyle w:val="Table"/>
                <w:i/>
                <w:i/>
                <w:spacing w:val="-2"/>
              </w:rPr>
            </w:pPr>
            <w:r>
              <w:rPr>
                <w:i/>
                <w:spacing w:val="-2"/>
              </w:rPr>
            </w:r>
          </w:p>
        </w:tc>
        <w:tc>
          <w:tcPr>
            <w:tcW w:w="7067" w:type="dxa"/>
            <w:gridSpan w:val="2"/>
            <w:tcBorders>
              <w:left w:val="single" w:sz="6" w:space="0" w:color="000000"/>
              <w:right w:val="single" w:sz="6" w:space="0" w:color="000000"/>
            </w:tcBorders>
          </w:tcPr>
          <w:p>
            <w:pPr>
              <w:pStyle w:val="Normal"/>
              <w:widowControl w:val="false"/>
              <w:suppressAutoHyphens w:val="true"/>
              <w:spacing w:before="100" w:after="100"/>
              <w:jc w:val="both"/>
              <w:rPr>
                <w:rStyle w:val="Table"/>
                <w:i/>
                <w:i/>
                <w:spacing w:val="-2"/>
              </w:rPr>
            </w:pPr>
            <w:r>
              <w:rPr>
                <w:i/>
                <w:spacing w:val="-2"/>
              </w:rPr>
            </w:r>
          </w:p>
        </w:tc>
      </w:tr>
      <w:tr>
        <w:trPr>
          <w:cantSplit w:val="true"/>
        </w:trPr>
        <w:tc>
          <w:tcPr>
            <w:tcW w:w="1072" w:type="dxa"/>
            <w:tcBorders>
              <w:top w:val="dotted" w:sz="4" w:space="0" w:color="000000"/>
              <w:left w:val="single" w:sz="6" w:space="0" w:color="000000"/>
              <w:bottom w:val="dotted" w:sz="4" w:space="0" w:color="000000"/>
            </w:tcBorders>
          </w:tcPr>
          <w:p>
            <w:pPr>
              <w:pStyle w:val="Normal"/>
              <w:widowControl w:val="false"/>
              <w:suppressAutoHyphens w:val="true"/>
              <w:spacing w:before="100" w:after="100"/>
              <w:jc w:val="both"/>
              <w:rPr>
                <w:rStyle w:val="Table"/>
                <w:i/>
                <w:i/>
                <w:spacing w:val="-2"/>
              </w:rPr>
            </w:pPr>
            <w:r>
              <w:rPr>
                <w:i/>
                <w:spacing w:val="-2"/>
              </w:rPr>
            </w:r>
          </w:p>
        </w:tc>
        <w:tc>
          <w:tcPr>
            <w:tcW w:w="1033" w:type="dxa"/>
            <w:gridSpan w:val="2"/>
            <w:tcBorders>
              <w:top w:val="dotted" w:sz="4" w:space="0" w:color="000000"/>
              <w:left w:val="single" w:sz="6" w:space="0" w:color="000000"/>
              <w:bottom w:val="dotted" w:sz="4" w:space="0" w:color="000000"/>
            </w:tcBorders>
          </w:tcPr>
          <w:p>
            <w:pPr>
              <w:pStyle w:val="Normal"/>
              <w:widowControl w:val="false"/>
              <w:suppressAutoHyphens w:val="true"/>
              <w:spacing w:before="100" w:after="100"/>
              <w:jc w:val="both"/>
              <w:rPr>
                <w:rStyle w:val="Table"/>
                <w:i/>
                <w:i/>
                <w:spacing w:val="-2"/>
              </w:rPr>
            </w:pPr>
            <w:r>
              <w:rPr>
                <w:i/>
                <w:spacing w:val="-2"/>
              </w:rPr>
            </w:r>
          </w:p>
        </w:tc>
        <w:tc>
          <w:tcPr>
            <w:tcW w:w="7067" w:type="dxa"/>
            <w:gridSpan w:val="2"/>
            <w:tcBorders>
              <w:top w:val="dotted" w:sz="4" w:space="0" w:color="000000"/>
              <w:left w:val="single" w:sz="6" w:space="0" w:color="000000"/>
              <w:bottom w:val="dotted" w:sz="4" w:space="0" w:color="000000"/>
              <w:right w:val="single" w:sz="6" w:space="0" w:color="000000"/>
            </w:tcBorders>
          </w:tcPr>
          <w:p>
            <w:pPr>
              <w:pStyle w:val="Normal"/>
              <w:widowControl w:val="false"/>
              <w:suppressAutoHyphens w:val="true"/>
              <w:spacing w:before="100" w:after="100"/>
              <w:jc w:val="both"/>
              <w:rPr>
                <w:rStyle w:val="Table"/>
                <w:i/>
                <w:i/>
                <w:spacing w:val="-2"/>
              </w:rPr>
            </w:pPr>
            <w:r>
              <w:rPr>
                <w:i/>
                <w:spacing w:val="-2"/>
              </w:rPr>
            </w:r>
          </w:p>
        </w:tc>
      </w:tr>
      <w:tr>
        <w:trPr>
          <w:cantSplit w:val="true"/>
        </w:trPr>
        <w:tc>
          <w:tcPr>
            <w:tcW w:w="1072" w:type="dxa"/>
            <w:tcBorders>
              <w:top w:val="dotted" w:sz="4" w:space="0" w:color="000000"/>
              <w:left w:val="single" w:sz="6" w:space="0" w:color="000000"/>
              <w:bottom w:val="dotted" w:sz="4" w:space="0" w:color="000000"/>
            </w:tcBorders>
          </w:tcPr>
          <w:p>
            <w:pPr>
              <w:pStyle w:val="Normal"/>
              <w:widowControl w:val="false"/>
              <w:suppressAutoHyphens w:val="true"/>
              <w:spacing w:before="100" w:after="100"/>
              <w:jc w:val="both"/>
              <w:rPr>
                <w:rStyle w:val="Table"/>
                <w:i/>
                <w:i/>
                <w:spacing w:val="-2"/>
              </w:rPr>
            </w:pPr>
            <w:r>
              <w:rPr>
                <w:i/>
                <w:spacing w:val="-2"/>
              </w:rPr>
            </w:r>
          </w:p>
        </w:tc>
        <w:tc>
          <w:tcPr>
            <w:tcW w:w="1033" w:type="dxa"/>
            <w:gridSpan w:val="2"/>
            <w:tcBorders>
              <w:top w:val="dotted" w:sz="4" w:space="0" w:color="000000"/>
              <w:left w:val="single" w:sz="6" w:space="0" w:color="000000"/>
              <w:bottom w:val="dotted" w:sz="4" w:space="0" w:color="000000"/>
            </w:tcBorders>
          </w:tcPr>
          <w:p>
            <w:pPr>
              <w:pStyle w:val="Normal"/>
              <w:widowControl w:val="false"/>
              <w:suppressAutoHyphens w:val="true"/>
              <w:spacing w:before="100" w:after="100"/>
              <w:jc w:val="both"/>
              <w:rPr>
                <w:rStyle w:val="Table"/>
                <w:i/>
                <w:i/>
                <w:spacing w:val="-2"/>
              </w:rPr>
            </w:pPr>
            <w:r>
              <w:rPr>
                <w:i/>
                <w:spacing w:val="-2"/>
              </w:rPr>
            </w:r>
          </w:p>
        </w:tc>
        <w:tc>
          <w:tcPr>
            <w:tcW w:w="7067" w:type="dxa"/>
            <w:gridSpan w:val="2"/>
            <w:tcBorders>
              <w:top w:val="dotted" w:sz="4" w:space="0" w:color="000000"/>
              <w:left w:val="single" w:sz="6" w:space="0" w:color="000000"/>
              <w:bottom w:val="dotted" w:sz="4" w:space="0" w:color="000000"/>
              <w:right w:val="single" w:sz="6" w:space="0" w:color="000000"/>
            </w:tcBorders>
          </w:tcPr>
          <w:p>
            <w:pPr>
              <w:pStyle w:val="Normal"/>
              <w:widowControl w:val="false"/>
              <w:suppressAutoHyphens w:val="true"/>
              <w:spacing w:before="100" w:after="100"/>
              <w:jc w:val="both"/>
              <w:rPr>
                <w:rStyle w:val="Table"/>
                <w:i/>
                <w:i/>
                <w:spacing w:val="-2"/>
              </w:rPr>
            </w:pPr>
            <w:r>
              <w:rPr>
                <w:i/>
                <w:spacing w:val="-2"/>
              </w:rPr>
            </w:r>
          </w:p>
        </w:tc>
      </w:tr>
      <w:tr>
        <w:trPr>
          <w:cantSplit w:val="true"/>
        </w:trPr>
        <w:tc>
          <w:tcPr>
            <w:tcW w:w="1072" w:type="dxa"/>
            <w:tcBorders>
              <w:top w:val="dotted" w:sz="4" w:space="0" w:color="000000"/>
              <w:left w:val="single" w:sz="6" w:space="0" w:color="000000"/>
              <w:bottom w:val="dotted" w:sz="4" w:space="0" w:color="000000"/>
            </w:tcBorders>
          </w:tcPr>
          <w:p>
            <w:pPr>
              <w:pStyle w:val="Normal"/>
              <w:widowControl w:val="false"/>
              <w:suppressAutoHyphens w:val="true"/>
              <w:spacing w:before="100" w:after="100"/>
              <w:jc w:val="both"/>
              <w:rPr>
                <w:rStyle w:val="Table"/>
                <w:i/>
                <w:i/>
                <w:spacing w:val="-2"/>
              </w:rPr>
            </w:pPr>
            <w:r>
              <w:rPr>
                <w:i/>
                <w:spacing w:val="-2"/>
              </w:rPr>
            </w:r>
          </w:p>
        </w:tc>
        <w:tc>
          <w:tcPr>
            <w:tcW w:w="1033" w:type="dxa"/>
            <w:gridSpan w:val="2"/>
            <w:tcBorders>
              <w:top w:val="dotted" w:sz="4" w:space="0" w:color="000000"/>
              <w:left w:val="single" w:sz="6" w:space="0" w:color="000000"/>
              <w:bottom w:val="dotted" w:sz="4" w:space="0" w:color="000000"/>
            </w:tcBorders>
          </w:tcPr>
          <w:p>
            <w:pPr>
              <w:pStyle w:val="Normal"/>
              <w:widowControl w:val="false"/>
              <w:suppressAutoHyphens w:val="true"/>
              <w:spacing w:before="100" w:after="100"/>
              <w:jc w:val="both"/>
              <w:rPr>
                <w:rStyle w:val="Table"/>
                <w:i/>
                <w:i/>
                <w:spacing w:val="-2"/>
              </w:rPr>
            </w:pPr>
            <w:r>
              <w:rPr>
                <w:i/>
                <w:spacing w:val="-2"/>
              </w:rPr>
            </w:r>
          </w:p>
        </w:tc>
        <w:tc>
          <w:tcPr>
            <w:tcW w:w="7067" w:type="dxa"/>
            <w:gridSpan w:val="2"/>
            <w:tcBorders>
              <w:top w:val="dotted" w:sz="4" w:space="0" w:color="000000"/>
              <w:left w:val="single" w:sz="6" w:space="0" w:color="000000"/>
              <w:bottom w:val="dotted" w:sz="4" w:space="0" w:color="000000"/>
              <w:right w:val="single" w:sz="6" w:space="0" w:color="000000"/>
            </w:tcBorders>
          </w:tcPr>
          <w:p>
            <w:pPr>
              <w:pStyle w:val="Normal"/>
              <w:widowControl w:val="false"/>
              <w:suppressAutoHyphens w:val="true"/>
              <w:spacing w:before="100" w:after="100"/>
              <w:jc w:val="both"/>
              <w:rPr>
                <w:rStyle w:val="Table"/>
                <w:i/>
                <w:i/>
                <w:spacing w:val="-2"/>
              </w:rPr>
            </w:pPr>
            <w:r>
              <w:rPr>
                <w:i/>
                <w:spacing w:val="-2"/>
              </w:rPr>
            </w:r>
          </w:p>
        </w:tc>
      </w:tr>
    </w:tbl>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ind w:right="288" w:hanging="0"/>
        <w:jc w:val="left"/>
        <w:rPr>
          <w:rStyle w:val="Table"/>
          <w:rFonts w:eastAsia="" w:cs="Arial" w:eastAsiaTheme="majorEastAsia"/>
          <w:spacing w:val="-2"/>
          <w:sz w:val="22"/>
          <w:szCs w:val="22"/>
          <w:lang w:val="en-US"/>
        </w:rPr>
      </w:pPr>
      <w:r>
        <w:rPr>
          <w:rFonts w:eastAsia="" w:cs="Arial" w:eastAsiaTheme="majorEastAsia"/>
          <w:spacing w:val="-2"/>
          <w:sz w:val="22"/>
          <w:szCs w:val="22"/>
          <w:lang w:val="en-US"/>
        </w:rPr>
      </w:r>
    </w:p>
    <w:p>
      <w:pPr>
        <w:pStyle w:val="SectionVHeader"/>
        <w:tabs>
          <w:tab w:val="clear" w:pos="720"/>
          <w:tab w:val="center" w:pos="4370" w:leader="none"/>
        </w:tabs>
        <w:ind w:right="288" w:hanging="0"/>
        <w:jc w:val="left"/>
        <w:rPr>
          <w:rFonts w:eastAsia="" w:cs="Arial" w:eastAsiaTheme="majorEastAsia"/>
          <w:b w:val="false"/>
          <w:b w:val="false"/>
          <w:bCs/>
          <w:spacing w:val="-2"/>
          <w:sz w:val="22"/>
          <w:szCs w:val="22"/>
          <w:lang w:val="en-US"/>
        </w:rPr>
      </w:pPr>
      <w:r>
        <w:rPr>
          <w:rStyle w:val="Table"/>
          <w:rFonts w:eastAsia="" w:cs="Arial" w:eastAsiaTheme="majorEastAsia"/>
          <w:b w:val="false"/>
          <w:bCs/>
          <w:spacing w:val="-2"/>
          <w:sz w:val="22"/>
          <w:szCs w:val="22"/>
          <w:lang w:val="en-US"/>
        </w:rPr>
        <w:t xml:space="preserve"> </w:t>
      </w:r>
      <w:r>
        <w:rPr>
          <w:rStyle w:val="Table"/>
          <w:rFonts w:eastAsia="" w:cs="Arial" w:eastAsiaTheme="majorEastAsia"/>
          <w:b w:val="false"/>
          <w:bCs/>
          <w:spacing w:val="-2"/>
          <w:sz w:val="22"/>
          <w:szCs w:val="22"/>
          <w:lang w:val="en-US"/>
        </w:rPr>
        <w:t xml:space="preserve">Name &amp; Signature of personnel: </w:t>
      </w:r>
      <w:r>
        <w:rPr>
          <w:rStyle w:val="Table"/>
          <w:rFonts w:eastAsia="" w:cs="Arial" w:eastAsiaTheme="majorEastAsia"/>
          <w:b w:val="false"/>
          <w:bCs/>
          <w:spacing w:val="-2"/>
          <w:sz w:val="22"/>
          <w:szCs w:val="22"/>
          <w:lang w:val="en-GB"/>
        </w:rPr>
        <w:t xml:space="preserve">_______________              </w:t>
      </w:r>
      <w:r>
        <w:rPr>
          <w:rStyle w:val="Table"/>
          <w:rFonts w:eastAsia="" w:cs="Arial" w:eastAsiaTheme="majorEastAsia"/>
          <w:b w:val="false"/>
          <w:bCs/>
          <w:spacing w:val="-2"/>
          <w:sz w:val="22"/>
          <w:szCs w:val="22"/>
          <w:lang w:val="en-US"/>
        </w:rPr>
        <w:t>Date:</w:t>
      </w:r>
      <w:r>
        <w:rPr>
          <w:rStyle w:val="Table"/>
          <w:rFonts w:eastAsia="" w:cs="Arial" w:eastAsiaTheme="majorEastAsia"/>
          <w:spacing w:val="-2"/>
          <w:sz w:val="22"/>
          <w:szCs w:val="22"/>
          <w:lang w:val="en-US"/>
        </w:rPr>
        <w:t>___________________</w:t>
      </w:r>
      <w:r>
        <w:rPr>
          <w:rStyle w:val="Table"/>
          <w:rFonts w:eastAsia="" w:cs="Arial" w:eastAsiaTheme="majorEastAsia"/>
          <w:b w:val="false"/>
          <w:bCs/>
          <w:spacing w:val="-2"/>
          <w:sz w:val="22"/>
          <w:szCs w:val="22"/>
          <w:lang w:val="en-US"/>
        </w:rPr>
        <w:t xml:space="preserve">                  </w:t>
      </w:r>
      <w:r>
        <w:rPr>
          <w:rStyle w:val="Table"/>
          <w:rFonts w:eastAsia="" w:cs="Arial" w:eastAsiaTheme="majorEastAsia"/>
          <w:b w:val="false"/>
          <w:bCs/>
          <w:spacing w:val="-2"/>
          <w:sz w:val="22"/>
          <w:szCs w:val="22"/>
          <w:lang w:val="en-GB"/>
        </w:rPr>
        <w:t xml:space="preserve"> </w:t>
      </w:r>
    </w:p>
    <w:p>
      <w:pPr>
        <w:pStyle w:val="Normal"/>
        <w:spacing w:before="0" w:after="0"/>
        <w:rPr>
          <w:color w:val="000000"/>
        </w:rPr>
      </w:pPr>
      <w:r>
        <w:rPr>
          <w:color w:val="000000"/>
        </w:rPr>
      </w:r>
    </w:p>
    <w:p>
      <w:pPr>
        <w:pStyle w:val="Normal"/>
        <w:keepNext w:val="true"/>
        <w:spacing w:before="0" w:after="0"/>
        <w:jc w:val="center"/>
        <w:rPr>
          <w:b/>
          <w:b/>
          <w:smallCaps/>
          <w:color w:val="000000"/>
        </w:rPr>
      </w:pPr>
      <w:r>
        <w:rPr>
          <w:b/>
          <w:smallCaps/>
          <w:color w:val="000000"/>
        </w:rPr>
      </w:r>
    </w:p>
    <w:p>
      <w:pPr>
        <w:pStyle w:val="Normal"/>
        <w:keepNext w:val="true"/>
        <w:spacing w:before="0" w:after="0"/>
        <w:jc w:val="center"/>
        <w:rPr>
          <w:b/>
          <w:b/>
          <w:smallCaps/>
          <w:color w:val="000000"/>
        </w:rPr>
      </w:pPr>
      <w:r>
        <w:rPr>
          <w:b/>
          <w:smallCaps/>
          <w:color w:val="000000"/>
        </w:rPr>
      </w:r>
    </w:p>
    <w:p>
      <w:pPr>
        <w:pStyle w:val="Normal"/>
        <w:keepNext w:val="true"/>
        <w:spacing w:before="0" w:after="0"/>
        <w:jc w:val="center"/>
        <w:rPr>
          <w:b/>
          <w:b/>
          <w:smallCaps/>
          <w:color w:val="000000"/>
        </w:rPr>
      </w:pPr>
      <w:r>
        <w:rPr>
          <w:b/>
          <w:smallCaps/>
          <w:color w:val="000000"/>
        </w:rPr>
      </w:r>
    </w:p>
    <w:p>
      <w:pPr>
        <w:pStyle w:val="Normal"/>
        <w:keepNext w:val="true"/>
        <w:spacing w:before="0" w:after="0"/>
        <w:jc w:val="center"/>
        <w:rPr>
          <w:b/>
          <w:b/>
          <w:smallCaps/>
          <w:color w:val="000000"/>
        </w:rPr>
      </w:pPr>
      <w:r>
        <w:rPr>
          <w:b/>
          <w:smallCaps/>
          <w:color w:val="000000"/>
        </w:rPr>
      </w:r>
      <w:r>
        <w:br w:type="page"/>
      </w:r>
    </w:p>
    <w:p>
      <w:pPr>
        <w:pStyle w:val="Normal"/>
        <w:spacing w:before="0" w:after="0"/>
        <w:jc w:val="center"/>
        <w:rPr>
          <w:b/>
          <w:b/>
          <w:smallCaps/>
          <w:color w:val="000000"/>
        </w:rPr>
      </w:pPr>
      <w:r>
        <w:rPr>
          <w:b/>
          <w:smallCaps/>
          <w:color w:val="000000"/>
        </w:rPr>
        <w:t>RETURNABLE BID SCHEDULE 6</w:t>
      </w:r>
    </w:p>
    <w:p>
      <w:pPr>
        <w:pStyle w:val="Normal"/>
        <w:keepNext w:val="true"/>
        <w:spacing w:before="0" w:after="0"/>
        <w:jc w:val="center"/>
        <w:rPr>
          <w:b/>
          <w:b/>
          <w:smallCaps/>
          <w:color w:val="000000"/>
        </w:rPr>
      </w:pPr>
      <w:r>
        <w:rPr>
          <w:b/>
          <w:smallCaps/>
          <w:color w:val="000000"/>
        </w:rPr>
        <w:t>INSURANCES</w:t>
      </w:r>
    </w:p>
    <w:p>
      <w:pPr>
        <w:pStyle w:val="Normal"/>
        <w:spacing w:before="0" w:after="0"/>
        <w:rPr>
          <w:color w:val="000000"/>
        </w:rPr>
      </w:pPr>
      <w:r>
        <w:rPr>
          <w:color w:val="000000"/>
        </w:rPr>
      </w:r>
    </w:p>
    <w:p>
      <w:pPr>
        <w:pStyle w:val="Normal"/>
        <w:spacing w:before="0" w:after="0"/>
        <w:rPr>
          <w:color w:val="000000"/>
        </w:rPr>
      </w:pPr>
      <w:r>
        <w:rPr>
          <w:color w:val="000000"/>
        </w:rPr>
        <w:t>ITB Case No.:______________________________________________________________</w:t>
      </w:r>
    </w:p>
    <w:p>
      <w:pPr>
        <w:pStyle w:val="Normal"/>
        <w:spacing w:before="0" w:after="0"/>
        <w:rPr>
          <w:color w:val="000000"/>
        </w:rPr>
      </w:pPr>
      <w:r>
        <w:rPr>
          <w:color w:val="000000"/>
        </w:rPr>
      </w:r>
    </w:p>
    <w:p>
      <w:pPr>
        <w:pStyle w:val="Normal"/>
        <w:spacing w:before="0" w:after="0"/>
        <w:rPr>
          <w:color w:val="000000"/>
        </w:rPr>
      </w:pPr>
      <w:r>
        <w:rPr>
          <w:color w:val="000000"/>
        </w:rPr>
        <w:t>Name of bidder: 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Date: ____________________________________________________________________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Signature: 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i/>
          <w:i/>
          <w:color w:val="000000"/>
        </w:rPr>
      </w:pPr>
      <w:r>
        <w:rPr>
          <w:i/>
          <w:color w:val="000000"/>
          <w:u w:val="single"/>
        </w:rPr>
        <w:t>Note to bidders</w:t>
      </w:r>
      <w:r>
        <w:rPr>
          <w:i/>
          <w:color w:val="000000"/>
        </w:rPr>
        <w:t>: Bidders are to provide details of their insurance policies if they have any at the time of preparing their Bid.  If selected, Bidders will have to comply with the insurance requirements as set out under Schedule 2 of the Contract [Schedule of Works]. Bidders are advised that UNOPS may request copies of the insurance policies and any endorsements during the review of bids, including amounts of any deductibles and all exclusions.</w:t>
      </w:r>
    </w:p>
    <w:p>
      <w:pPr>
        <w:pStyle w:val="Normal"/>
        <w:spacing w:before="0" w:after="0"/>
        <w:jc w:val="both"/>
        <w:rPr>
          <w:color w:val="000000"/>
        </w:rPr>
      </w:pPr>
      <w:r>
        <w:rPr>
          <w:color w:val="000000"/>
        </w:rPr>
      </w:r>
    </w:p>
    <w:p>
      <w:pPr>
        <w:pStyle w:val="Normal"/>
        <w:keepNext w:val="true"/>
        <w:numPr>
          <w:ilvl w:val="0"/>
          <w:numId w:val="5"/>
        </w:numPr>
        <w:spacing w:before="0" w:after="0"/>
        <w:jc w:val="both"/>
        <w:rPr>
          <w:b/>
          <w:b/>
          <w:color w:val="000000"/>
        </w:rPr>
      </w:pPr>
      <w:r>
        <w:rPr>
          <w:b/>
          <w:color w:val="000000"/>
        </w:rPr>
        <w:t>Construction All Risks Insurance/Third Party Liability Insurance</w:t>
      </w:r>
    </w:p>
    <w:p>
      <w:pPr>
        <w:pStyle w:val="Normal"/>
        <w:keepNext w:val="true"/>
        <w:spacing w:before="0" w:after="0"/>
        <w:ind w:left="720" w:hanging="0"/>
        <w:jc w:val="both"/>
        <w:rPr>
          <w:b/>
          <w:b/>
          <w:color w:val="000000"/>
        </w:rPr>
      </w:pPr>
      <w:r>
        <w:rPr>
          <w:b/>
          <w:color w:val="000000"/>
        </w:rPr>
      </w:r>
    </w:p>
    <w:tbl>
      <w:tblPr>
        <w:tblStyle w:val="ae"/>
        <w:tblW w:w="900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2700"/>
        <w:gridCol w:w="6299"/>
      </w:tblGrid>
      <w:tr>
        <w:trPr/>
        <w:tc>
          <w:tcPr>
            <w:tcW w:w="27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Name of Insurer:</w:t>
            </w:r>
          </w:p>
        </w:tc>
        <w:tc>
          <w:tcPr>
            <w:tcW w:w="62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Policy No.:</w:t>
            </w:r>
          </w:p>
        </w:tc>
        <w:tc>
          <w:tcPr>
            <w:tcW w:w="62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Insured Amount:</w:t>
            </w:r>
          </w:p>
        </w:tc>
        <w:tc>
          <w:tcPr>
            <w:tcW w:w="62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Renewal Date:</w:t>
            </w:r>
          </w:p>
        </w:tc>
        <w:tc>
          <w:tcPr>
            <w:tcW w:w="62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Name of Broker:</w:t>
            </w:r>
          </w:p>
        </w:tc>
        <w:tc>
          <w:tcPr>
            <w:tcW w:w="62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Contact details of Broker:</w:t>
            </w:r>
          </w:p>
        </w:tc>
        <w:tc>
          <w:tcPr>
            <w:tcW w:w="62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bl>
    <w:p>
      <w:pPr>
        <w:pStyle w:val="Normal"/>
        <w:keepNext w:val="true"/>
        <w:numPr>
          <w:ilvl w:val="0"/>
          <w:numId w:val="5"/>
        </w:numPr>
        <w:spacing w:before="0" w:after="0"/>
        <w:jc w:val="both"/>
        <w:rPr>
          <w:b/>
          <w:b/>
          <w:color w:val="000000"/>
        </w:rPr>
      </w:pPr>
      <w:r>
        <w:rPr>
          <w:b/>
          <w:color w:val="000000"/>
        </w:rPr>
        <w:t xml:space="preserve">Workers’ Compensation/Employer’s Liability Insurance </w:t>
      </w:r>
    </w:p>
    <w:tbl>
      <w:tblPr>
        <w:tblStyle w:val="af"/>
        <w:tblW w:w="900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2790"/>
        <w:gridCol w:w="6209"/>
      </w:tblGrid>
      <w:tr>
        <w:trPr/>
        <w:tc>
          <w:tcPr>
            <w:tcW w:w="27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b/>
                <w:color w:val="000000"/>
              </w:rPr>
              <w:t xml:space="preserve"> </w:t>
            </w:r>
            <w:r>
              <w:rPr>
                <w:color w:val="000000"/>
              </w:rPr>
              <w:t>Name of Insurer:</w:t>
            </w:r>
          </w:p>
        </w:tc>
        <w:tc>
          <w:tcPr>
            <w:tcW w:w="62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Policy No.:</w:t>
            </w:r>
          </w:p>
        </w:tc>
        <w:tc>
          <w:tcPr>
            <w:tcW w:w="62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Insured Amount:</w:t>
            </w:r>
          </w:p>
        </w:tc>
        <w:tc>
          <w:tcPr>
            <w:tcW w:w="62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Renewal Date:</w:t>
            </w:r>
          </w:p>
        </w:tc>
        <w:tc>
          <w:tcPr>
            <w:tcW w:w="62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Name of Broker:</w:t>
            </w:r>
          </w:p>
        </w:tc>
        <w:tc>
          <w:tcPr>
            <w:tcW w:w="62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r>
        <w:trPr/>
        <w:tc>
          <w:tcPr>
            <w:tcW w:w="279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t>Contact details of Broker:</w:t>
            </w:r>
          </w:p>
        </w:tc>
        <w:tc>
          <w:tcPr>
            <w:tcW w:w="620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rPr>
                <w:color w:val="000000"/>
              </w:rPr>
            </w:pPr>
            <w:r>
              <w:rPr>
                <w:color w:val="000000"/>
              </w:rPr>
            </w:r>
          </w:p>
        </w:tc>
      </w:tr>
    </w:tbl>
    <w:p>
      <w:pPr>
        <w:pStyle w:val="Normal"/>
        <w:keepNext w:val="true"/>
        <w:spacing w:before="0" w:after="0"/>
        <w:ind w:left="720" w:hanging="720"/>
        <w:jc w:val="both"/>
        <w:rPr>
          <w:b/>
          <w:b/>
          <w:color w:val="000000"/>
        </w:rPr>
      </w:pPr>
      <w:r>
        <w:rPr>
          <w:b/>
          <w:color w:val="000000"/>
        </w:rPr>
      </w:r>
    </w:p>
    <w:p>
      <w:pPr>
        <w:pStyle w:val="Normal"/>
        <w:spacing w:before="0" w:after="0"/>
        <w:rPr>
          <w:color w:val="000000"/>
        </w:rPr>
      </w:pPr>
      <w:r>
        <w:rPr>
          <w:color w:val="000000"/>
        </w:rPr>
      </w:r>
    </w:p>
    <w:p>
      <w:pPr>
        <w:pStyle w:val="Normal"/>
        <w:spacing w:before="0" w:after="0"/>
        <w:jc w:val="center"/>
        <w:rPr>
          <w:b/>
          <w:b/>
          <w:smallCaps/>
          <w:color w:val="000000"/>
        </w:rPr>
      </w:pPr>
      <w:r>
        <w:rPr>
          <w:b/>
          <w:smallCaps/>
          <w:color w:val="000000"/>
        </w:rPr>
      </w:r>
      <w:r>
        <w:br w:type="page"/>
      </w:r>
    </w:p>
    <w:p>
      <w:pPr>
        <w:pStyle w:val="Normal"/>
        <w:spacing w:before="0" w:after="0"/>
        <w:jc w:val="center"/>
        <w:rPr>
          <w:b/>
          <w:b/>
          <w:smallCaps/>
          <w:color w:val="000000"/>
        </w:rPr>
      </w:pPr>
      <w:r>
        <w:rPr>
          <w:b/>
          <w:smallCaps/>
          <w:color w:val="000000"/>
        </w:rPr>
        <w:t>RETURNABLE BID SCHEDULE 7</w:t>
      </w:r>
    </w:p>
    <w:p>
      <w:pPr>
        <w:pStyle w:val="Normal"/>
        <w:spacing w:before="0" w:after="0"/>
        <w:jc w:val="both"/>
        <w:rPr>
          <w:smallCaps/>
          <w:color w:val="000000"/>
        </w:rPr>
      </w:pPr>
      <w:r>
        <w:rPr>
          <w:smallCaps/>
          <w:color w:val="000000"/>
        </w:rPr>
      </w:r>
    </w:p>
    <w:p>
      <w:pPr>
        <w:pStyle w:val="Normal"/>
        <w:spacing w:before="0" w:after="0"/>
        <w:jc w:val="center"/>
        <w:rPr>
          <w:b/>
          <w:b/>
          <w:smallCaps/>
          <w:color w:val="000000"/>
        </w:rPr>
      </w:pPr>
      <w:r>
        <w:rPr>
          <w:b/>
          <w:smallCaps/>
          <w:color w:val="000000"/>
        </w:rPr>
        <w:t>CAPACITY, EXPERIENCE, WORK IN HAND AND WORK COMPLETED</w:t>
      </w:r>
    </w:p>
    <w:p>
      <w:pPr>
        <w:pStyle w:val="Normal"/>
        <w:spacing w:before="0" w:after="0"/>
        <w:rPr>
          <w:color w:val="000000"/>
        </w:rPr>
      </w:pPr>
      <w:r>
        <w:rPr>
          <w:color w:val="000000"/>
        </w:rPr>
      </w:r>
    </w:p>
    <w:p>
      <w:pPr>
        <w:pStyle w:val="Normal"/>
        <w:spacing w:before="0" w:after="0"/>
        <w:rPr>
          <w:color w:val="000000"/>
        </w:rPr>
      </w:pPr>
      <w:r>
        <w:rPr>
          <w:color w:val="000000"/>
        </w:rPr>
        <w:t>ITB Case No.:______________________________________________________________</w:t>
      </w:r>
    </w:p>
    <w:p>
      <w:pPr>
        <w:pStyle w:val="Normal"/>
        <w:spacing w:before="0" w:after="0"/>
        <w:rPr>
          <w:color w:val="000000"/>
        </w:rPr>
      </w:pPr>
      <w:r>
        <w:rPr>
          <w:color w:val="000000"/>
        </w:rPr>
      </w:r>
    </w:p>
    <w:p>
      <w:pPr>
        <w:pStyle w:val="Normal"/>
        <w:spacing w:before="0" w:after="0"/>
        <w:rPr>
          <w:color w:val="000000"/>
        </w:rPr>
      </w:pPr>
      <w:r>
        <w:rPr>
          <w:color w:val="000000"/>
        </w:rPr>
        <w:t>Name of bidder: 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Date: ____________________________________________________________________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Signature: ________________________________________________________________</w:t>
      </w:r>
    </w:p>
    <w:p>
      <w:pPr>
        <w:pStyle w:val="Normal"/>
        <w:spacing w:before="0" w:after="0"/>
        <w:jc w:val="both"/>
        <w:rPr>
          <w:color w:val="000000"/>
        </w:rPr>
      </w:pPr>
      <w:r>
        <w:rPr>
          <w:color w:val="000000"/>
        </w:rPr>
      </w:r>
    </w:p>
    <w:p>
      <w:pPr>
        <w:pStyle w:val="MarginText"/>
        <w:keepNext w:val="true"/>
        <w:numPr>
          <w:ilvl w:val="1"/>
          <w:numId w:val="34"/>
        </w:numPr>
        <w:spacing w:lineRule="auto" w:line="240" w:before="0" w:after="0"/>
        <w:rPr>
          <w:rFonts w:ascii="Arial" w:hAnsi="Arial" w:cs="Arial"/>
          <w:b/>
          <w:b/>
          <w:bCs/>
          <w:color w:val="000000"/>
          <w:szCs w:val="22"/>
          <w:lang w:val="en-AU"/>
        </w:rPr>
      </w:pPr>
      <w:bookmarkStart w:id="50" w:name="_3o7alnk"/>
      <w:bookmarkEnd w:id="50"/>
      <w:r>
        <w:rPr>
          <w:rFonts w:cs="Arial" w:ascii="Arial" w:hAnsi="Arial"/>
          <w:b/>
          <w:bCs/>
          <w:color w:val="000000"/>
          <w:szCs w:val="22"/>
          <w:lang w:val="en-AU"/>
        </w:rPr>
        <w:t xml:space="preserve">All projects during the last </w:t>
      </w:r>
      <w:r>
        <w:rPr>
          <w:rFonts w:cs="Arial" w:ascii="Arial" w:hAnsi="Arial"/>
          <w:b/>
          <w:bCs/>
          <w:i/>
          <w:color w:val="000000"/>
          <w:szCs w:val="22"/>
          <w:lang w:val="en-AU"/>
        </w:rPr>
        <w:t>3</w:t>
      </w:r>
      <w:r>
        <w:rPr>
          <w:rFonts w:cs="Arial" w:ascii="Arial" w:hAnsi="Arial"/>
          <w:b/>
          <w:bCs/>
          <w:color w:val="000000"/>
          <w:szCs w:val="22"/>
          <w:lang w:val="en-AU"/>
        </w:rPr>
        <w:t xml:space="preserve"> years:</w:t>
      </w:r>
    </w:p>
    <w:p>
      <w:pPr>
        <w:pStyle w:val="MarginText"/>
        <w:keepNext w:val="true"/>
        <w:spacing w:lineRule="auto" w:line="240" w:before="0" w:after="0"/>
        <w:ind w:left="720" w:hanging="0"/>
        <w:rPr>
          <w:rFonts w:ascii="Arial" w:hAnsi="Arial" w:cs="Arial"/>
          <w:b/>
          <w:b/>
          <w:bCs/>
          <w:color w:val="000000"/>
          <w:szCs w:val="22"/>
          <w:lang w:val="en-AU"/>
        </w:rPr>
      </w:pPr>
      <w:r>
        <w:rPr>
          <w:rFonts w:cs="Arial" w:ascii="Arial" w:hAnsi="Arial"/>
          <w:b/>
          <w:bCs/>
          <w:color w:val="000000"/>
          <w:szCs w:val="22"/>
          <w:lang w:val="en-AU"/>
        </w:rPr>
      </w:r>
    </w:p>
    <w:tbl>
      <w:tblPr>
        <w:tblW w:w="9816"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985"/>
        <w:gridCol w:w="899"/>
        <w:gridCol w:w="1478"/>
        <w:gridCol w:w="1353"/>
        <w:gridCol w:w="2433"/>
        <w:gridCol w:w="1749"/>
        <w:gridCol w:w="918"/>
      </w:tblGrid>
      <w:tr>
        <w:trPr>
          <w:tblHeader w:val="true"/>
          <w:trHeight w:val="210" w:hRule="atLeast"/>
          <w:cantSplit w:val="true"/>
        </w:trPr>
        <w:tc>
          <w:tcPr>
            <w:tcW w:w="9815" w:type="dxa"/>
            <w:gridSpan w:val="7"/>
            <w:tcBorders>
              <w:top w:val="single" w:sz="4" w:space="0" w:color="000000"/>
              <w:left w:val="single" w:sz="4" w:space="0" w:color="000000"/>
              <w:bottom w:val="single" w:sz="4" w:space="0" w:color="000000"/>
              <w:right w:val="single" w:sz="4" w:space="0" w:color="000000"/>
            </w:tcBorders>
            <w:shd w:color="auto" w:fill="000000" w:val="clear"/>
          </w:tcPr>
          <w:p>
            <w:pPr>
              <w:pStyle w:val="Normal"/>
              <w:widowControl w:val="false"/>
              <w:numPr>
                <w:ilvl w:val="0"/>
                <w:numId w:val="0"/>
              </w:numPr>
              <w:spacing w:before="100" w:after="100"/>
              <w:ind w:left="0" w:hanging="0"/>
              <w:jc w:val="center"/>
              <w:outlineLvl w:val="4"/>
              <w:rPr>
                <w:b/>
                <w:b/>
                <w:bCs/>
                <w:spacing w:val="-2"/>
              </w:rPr>
            </w:pPr>
            <w:r>
              <w:rPr>
                <w:b/>
                <w:bCs/>
                <w:spacing w:val="-2"/>
              </w:rPr>
              <w:t>Previous Construction Experience</w:t>
            </w:r>
          </w:p>
        </w:tc>
      </w:tr>
      <w:tr>
        <w:trPr>
          <w:tblHeader w:val="true"/>
          <w:trHeight w:val="2015" w:hRule="atLeast"/>
          <w:cantSplit w:val="true"/>
        </w:trPr>
        <w:tc>
          <w:tcPr>
            <w:tcW w:w="985"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before="100" w:after="100"/>
              <w:jc w:val="center"/>
              <w:rPr>
                <w:b/>
                <w:b/>
                <w:bCs/>
                <w:spacing w:val="-2"/>
              </w:rPr>
            </w:pPr>
            <w:r>
              <w:rPr>
                <w:b/>
                <w:bCs/>
                <w:spacing w:val="-2"/>
              </w:rPr>
              <w:t>Commencement date</w:t>
            </w:r>
          </w:p>
          <w:p>
            <w:pPr>
              <w:pStyle w:val="Normal"/>
              <w:widowControl w:val="false"/>
              <w:spacing w:before="100" w:after="100"/>
              <w:jc w:val="center"/>
              <w:rPr>
                <w:b/>
                <w:b/>
                <w:bCs/>
                <w:spacing w:val="-2"/>
              </w:rPr>
            </w:pPr>
            <w:r>
              <w:rPr>
                <w:b/>
                <w:bCs/>
                <w:spacing w:val="-2"/>
              </w:rPr>
            </w:r>
          </w:p>
        </w:tc>
        <w:tc>
          <w:tcPr>
            <w:tcW w:w="899"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before="100" w:after="100"/>
              <w:jc w:val="center"/>
              <w:rPr>
                <w:b/>
                <w:b/>
                <w:bCs/>
                <w:spacing w:val="-2"/>
              </w:rPr>
            </w:pPr>
            <w:r>
              <w:rPr>
                <w:b/>
                <w:bCs/>
                <w:spacing w:val="-2"/>
              </w:rPr>
              <w:t>Completion date</w:t>
            </w:r>
          </w:p>
          <w:p>
            <w:pPr>
              <w:pStyle w:val="Normal"/>
              <w:widowControl w:val="false"/>
              <w:spacing w:before="100" w:after="100"/>
              <w:jc w:val="center"/>
              <w:rPr>
                <w:b/>
                <w:b/>
                <w:bCs/>
                <w:spacing w:val="-2"/>
              </w:rPr>
            </w:pPr>
            <w:r>
              <w:rPr>
                <w:b/>
                <w:bCs/>
                <w:spacing w:val="-2"/>
              </w:rPr>
            </w:r>
          </w:p>
        </w:tc>
        <w:tc>
          <w:tcPr>
            <w:tcW w:w="1478"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before="100" w:after="100"/>
              <w:jc w:val="center"/>
              <w:rPr>
                <w:b/>
                <w:b/>
                <w:bCs/>
                <w:spacing w:val="-2"/>
              </w:rPr>
            </w:pPr>
            <w:r>
              <w:rPr>
                <w:b/>
                <w:bCs/>
                <w:spacing w:val="-2"/>
              </w:rPr>
              <w:t>Total value of works the Contractor was responsible for</w:t>
            </w:r>
          </w:p>
        </w:tc>
        <w:tc>
          <w:tcPr>
            <w:tcW w:w="1353"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center"/>
              <w:rPr>
                <w:b/>
                <w:b/>
                <w:bCs/>
                <w:spacing w:val="-2"/>
              </w:rPr>
            </w:pPr>
            <w:r>
              <w:rPr>
                <w:b/>
                <w:bCs/>
                <w:spacing w:val="-2"/>
              </w:rPr>
              <w:t>Contract Name and title</w:t>
            </w:r>
          </w:p>
          <w:p>
            <w:pPr>
              <w:pStyle w:val="Normal"/>
              <w:widowControl w:val="false"/>
              <w:spacing w:before="100" w:after="100"/>
              <w:jc w:val="center"/>
              <w:rPr>
                <w:b/>
                <w:b/>
                <w:bCs/>
                <w:spacing w:val="-2"/>
              </w:rPr>
            </w:pPr>
            <w:r>
              <w:rPr>
                <w:b/>
                <w:bCs/>
                <w:spacing w:val="-2"/>
              </w:rPr>
            </w:r>
          </w:p>
        </w:tc>
        <w:tc>
          <w:tcPr>
            <w:tcW w:w="2433"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before="100" w:after="100"/>
              <w:jc w:val="center"/>
              <w:rPr>
                <w:b/>
                <w:b/>
                <w:bCs/>
                <w:spacing w:val="-2"/>
              </w:rPr>
            </w:pPr>
            <w:r>
              <w:rPr>
                <w:b/>
                <w:bCs/>
                <w:spacing w:val="-2"/>
              </w:rPr>
              <w:t>Brief Description of the Works Executed by the Bidder</w:t>
            </w:r>
          </w:p>
          <w:p>
            <w:pPr>
              <w:pStyle w:val="Normal"/>
              <w:widowControl w:val="false"/>
              <w:spacing w:before="100" w:after="100"/>
              <w:jc w:val="center"/>
              <w:rPr>
                <w:b/>
                <w:b/>
                <w:bCs/>
                <w:spacing w:val="-2"/>
              </w:rPr>
            </w:pPr>
            <w:r>
              <w:rPr>
                <w:b/>
                <w:bCs/>
                <w:spacing w:val="-2"/>
              </w:rPr>
            </w:r>
          </w:p>
        </w:tc>
        <w:tc>
          <w:tcPr>
            <w:tcW w:w="1749"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center"/>
              <w:rPr>
                <w:b/>
                <w:b/>
                <w:bCs/>
                <w:spacing w:val="-2"/>
              </w:rPr>
            </w:pPr>
            <w:r>
              <w:rPr>
                <w:b/>
                <w:bCs/>
                <w:spacing w:val="-2"/>
              </w:rPr>
              <w:t>Contact details of Employer: (Name, Address,  telephone, e-mail, fax)</w:t>
            </w:r>
          </w:p>
        </w:tc>
        <w:tc>
          <w:tcPr>
            <w:tcW w:w="918" w:type="dxa"/>
            <w:tcBorders>
              <w:top w:val="single" w:sz="4" w:space="0" w:color="000000"/>
              <w:left w:val="single" w:sz="4" w:space="0" w:color="000000"/>
              <w:bottom w:val="double" w:sz="4" w:space="0" w:color="000000"/>
              <w:right w:val="single" w:sz="4" w:space="0" w:color="000000"/>
            </w:tcBorders>
            <w:vAlign w:val="center"/>
          </w:tcPr>
          <w:p>
            <w:pPr>
              <w:pStyle w:val="Normal"/>
              <w:widowControl w:val="false"/>
              <w:spacing w:before="100" w:after="100"/>
              <w:jc w:val="center"/>
              <w:rPr>
                <w:b/>
                <w:b/>
                <w:bCs/>
                <w:spacing w:val="-2"/>
              </w:rPr>
            </w:pPr>
            <w:r>
              <w:rPr>
                <w:b/>
                <w:bCs/>
                <w:spacing w:val="-2"/>
              </w:rPr>
              <w:t>Role of Bidder</w:t>
            </w:r>
          </w:p>
        </w:tc>
      </w:tr>
      <w:tr>
        <w:trPr>
          <w:trHeight w:val="798" w:hRule="atLeast"/>
          <w:cantSplit w:val="true"/>
        </w:trPr>
        <w:tc>
          <w:tcPr>
            <w:tcW w:w="985" w:type="dxa"/>
            <w:tcBorders>
              <w:top w:val="doub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899" w:type="dxa"/>
            <w:tcBorders>
              <w:top w:val="doub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478" w:type="dxa"/>
            <w:tcBorders>
              <w:top w:val="doub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353" w:type="dxa"/>
            <w:tcBorders>
              <w:top w:val="doub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2433" w:type="dxa"/>
            <w:tcBorders>
              <w:top w:val="doub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749" w:type="dxa"/>
            <w:tcBorders>
              <w:top w:val="doub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918" w:type="dxa"/>
            <w:tcBorders>
              <w:top w:val="doub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r>
      <w:tr>
        <w:trPr>
          <w:trHeight w:val="710" w:hRule="atLeast"/>
          <w:cantSplit w:val="true"/>
        </w:trPr>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8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3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24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74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r>
      <w:tr>
        <w:trPr>
          <w:trHeight w:val="710" w:hRule="atLeast"/>
          <w:cantSplit w:val="true"/>
        </w:trPr>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8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3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24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74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r>
      <w:tr>
        <w:trPr>
          <w:trHeight w:val="710" w:hRule="atLeast"/>
          <w:cantSplit w:val="true"/>
        </w:trPr>
        <w:tc>
          <w:tcPr>
            <w:tcW w:w="98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8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35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243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174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c>
          <w:tcPr>
            <w:tcW w:w="91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spacing w:val="-2"/>
              </w:rPr>
            </w:pPr>
            <w:r>
              <w:rPr>
                <w:spacing w:val="-2"/>
              </w:rPr>
            </w:r>
          </w:p>
        </w:tc>
      </w:tr>
      <w:tr>
        <w:trPr>
          <w:trHeight w:val="710" w:hRule="atLeast"/>
          <w:cantSplit w:val="true"/>
        </w:trPr>
        <w:tc>
          <w:tcPr>
            <w:tcW w:w="985"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both"/>
              <w:rPr>
                <w:spacing w:val="-2"/>
              </w:rPr>
            </w:pPr>
            <w:r>
              <w:rPr>
                <w:spacing w:val="-2"/>
              </w:rPr>
            </w:r>
          </w:p>
        </w:tc>
        <w:tc>
          <w:tcPr>
            <w:tcW w:w="899"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both"/>
              <w:rPr>
                <w:spacing w:val="-2"/>
              </w:rPr>
            </w:pPr>
            <w:r>
              <w:rPr>
                <w:spacing w:val="-2"/>
              </w:rPr>
            </w:r>
          </w:p>
        </w:tc>
        <w:tc>
          <w:tcPr>
            <w:tcW w:w="1478"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both"/>
              <w:rPr>
                <w:spacing w:val="-2"/>
              </w:rPr>
            </w:pPr>
            <w:r>
              <w:rPr>
                <w:spacing w:val="-2"/>
              </w:rPr>
            </w:r>
          </w:p>
        </w:tc>
        <w:tc>
          <w:tcPr>
            <w:tcW w:w="1353"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both"/>
              <w:rPr>
                <w:spacing w:val="-2"/>
              </w:rPr>
            </w:pPr>
            <w:r>
              <w:rPr>
                <w:spacing w:val="-2"/>
              </w:rPr>
            </w:r>
          </w:p>
        </w:tc>
        <w:tc>
          <w:tcPr>
            <w:tcW w:w="2433"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both"/>
              <w:rPr>
                <w:spacing w:val="-2"/>
              </w:rPr>
            </w:pPr>
            <w:r>
              <w:rPr>
                <w:spacing w:val="-2"/>
              </w:rPr>
            </w:r>
          </w:p>
        </w:tc>
        <w:tc>
          <w:tcPr>
            <w:tcW w:w="1749"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both"/>
              <w:rPr>
                <w:spacing w:val="-2"/>
              </w:rPr>
            </w:pPr>
            <w:r>
              <w:rPr>
                <w:spacing w:val="-2"/>
              </w:rPr>
            </w:r>
          </w:p>
        </w:tc>
        <w:tc>
          <w:tcPr>
            <w:tcW w:w="918" w:type="dxa"/>
            <w:tcBorders>
              <w:top w:val="single" w:sz="4" w:space="0" w:color="000000"/>
              <w:left w:val="single" w:sz="4" w:space="0" w:color="000000"/>
              <w:bottom w:val="double" w:sz="4" w:space="0" w:color="000000"/>
              <w:right w:val="single" w:sz="4" w:space="0" w:color="000000"/>
            </w:tcBorders>
          </w:tcPr>
          <w:p>
            <w:pPr>
              <w:pStyle w:val="Normal"/>
              <w:widowControl w:val="false"/>
              <w:spacing w:before="100" w:after="100"/>
              <w:jc w:val="both"/>
              <w:rPr>
                <w:spacing w:val="-2"/>
              </w:rPr>
            </w:pPr>
            <w:r>
              <w:rPr>
                <w:spacing w:val="-2"/>
              </w:rPr>
            </w:r>
          </w:p>
        </w:tc>
      </w:tr>
    </w:tbl>
    <w:p>
      <w:pPr>
        <w:pStyle w:val="MarginText"/>
        <w:spacing w:lineRule="auto" w:line="240" w:before="0" w:after="0"/>
        <w:rPr>
          <w:rFonts w:ascii="Arial" w:hAnsi="Arial" w:cs="Arial"/>
          <w:i/>
          <w:i/>
          <w:color w:val="000000"/>
          <w:szCs w:val="22"/>
          <w:lang w:val="en-AU"/>
        </w:rPr>
      </w:pPr>
      <w:r>
        <w:rPr>
          <w:rFonts w:cs="Arial" w:ascii="Arial" w:hAnsi="Arial"/>
          <w:i/>
          <w:color w:val="000000"/>
          <w:szCs w:val="22"/>
          <w:lang w:val="en-AU"/>
        </w:rPr>
      </w:r>
    </w:p>
    <w:p>
      <w:pPr>
        <w:pStyle w:val="MarginText"/>
        <w:spacing w:lineRule="auto" w:line="240" w:before="0" w:after="0"/>
        <w:rPr>
          <w:rFonts w:ascii="Arial" w:hAnsi="Arial" w:cs="Arial"/>
          <w:i/>
          <w:i/>
          <w:color w:val="000000"/>
          <w:szCs w:val="22"/>
          <w:lang w:val="en-AU"/>
        </w:rPr>
      </w:pPr>
      <w:r>
        <w:rPr>
          <w:rFonts w:cs="Arial" w:ascii="Arial" w:hAnsi="Arial"/>
          <w:i/>
          <w:color w:val="000000"/>
          <w:szCs w:val="22"/>
          <w:lang w:val="en-AU"/>
        </w:rPr>
      </w:r>
    </w:p>
    <w:p>
      <w:pPr>
        <w:pStyle w:val="MarginText"/>
        <w:keepNext w:val="true"/>
        <w:suppressAutoHyphens w:val="true"/>
        <w:spacing w:lineRule="auto" w:line="240" w:before="0" w:after="0"/>
        <w:rPr>
          <w:rFonts w:ascii="Arial" w:hAnsi="Arial" w:cs="Arial"/>
          <w:szCs w:val="22"/>
        </w:rPr>
      </w:pPr>
      <w:r>
        <w:rPr>
          <w:rFonts w:cs="Arial" w:ascii="Arial" w:hAnsi="Arial"/>
          <w:b/>
          <w:bCs/>
          <w:szCs w:val="22"/>
          <w:lang w:val="en-AU"/>
        </w:rPr>
        <w:t>b. All current projects underway or committed to start:</w:t>
      </w:r>
    </w:p>
    <w:p>
      <w:pPr>
        <w:pStyle w:val="MarginText"/>
        <w:spacing w:lineRule="auto" w:line="240" w:before="0" w:after="0"/>
        <w:rPr>
          <w:rFonts w:ascii="Arial" w:hAnsi="Arial" w:cs="Arial"/>
          <w:szCs w:val="22"/>
          <w:lang w:val="en-AU"/>
        </w:rPr>
      </w:pPr>
      <w:r>
        <w:rPr>
          <w:rFonts w:cs="Arial" w:ascii="Arial" w:hAnsi="Arial"/>
          <w:szCs w:val="22"/>
          <w:lang w:val="en-AU"/>
        </w:rPr>
      </w:r>
    </w:p>
    <w:p>
      <w:pPr>
        <w:pStyle w:val="Section"/>
        <w:widowControl/>
        <w:spacing w:lineRule="auto" w:line="240"/>
        <w:jc w:val="left"/>
        <w:rPr>
          <w:rFonts w:cs="Arial"/>
          <w:sz w:val="22"/>
          <w:szCs w:val="22"/>
          <w:lang w:val="en-GB"/>
        </w:rPr>
      </w:pPr>
      <w:r>
        <w:rPr>
          <w:rFonts w:cs="Arial"/>
          <w:sz w:val="22"/>
          <w:szCs w:val="22"/>
          <w:lang w:val="en-GB"/>
        </w:rPr>
        <w:t>CURRENT CONTRACT COMMITMENTS FORM</w:t>
      </w:r>
    </w:p>
    <w:p>
      <w:pPr>
        <w:pStyle w:val="ListParagraph"/>
        <w:ind w:left="0" w:hanging="0"/>
        <w:rPr>
          <w:rFonts w:ascii="Arial" w:hAnsi="Arial" w:cs="Arial"/>
          <w:i/>
          <w:i/>
          <w:color w:val="000000"/>
        </w:rPr>
      </w:pPr>
      <w:r>
        <w:rPr>
          <w:rFonts w:cs="Arial" w:ascii="Arial" w:hAnsi="Arial"/>
          <w:i/>
          <w:color w:val="000000"/>
        </w:rPr>
      </w:r>
    </w:p>
    <w:p>
      <w:pPr>
        <w:pStyle w:val="ListParagraph"/>
        <w:ind w:left="0" w:hanging="0"/>
        <w:rPr>
          <w:rFonts w:ascii="Arial" w:hAnsi="Arial" w:cs="Arial"/>
          <w:i/>
          <w:i/>
          <w:color w:val="000000"/>
        </w:rPr>
      </w:pPr>
      <w:r>
        <w:rPr>
          <w:rFonts w:cs="Arial" w:ascii="Arial" w:hAnsi="Arial"/>
          <w:i/>
          <w:color w:val="000000"/>
        </w:rPr>
        <w:t>Bidders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pPr>
        <w:pStyle w:val="ListParagraph"/>
        <w:ind w:left="1080" w:hanging="0"/>
        <w:rPr>
          <w:rFonts w:cs="Arial"/>
        </w:rPr>
      </w:pPr>
      <w:r>
        <w:rPr>
          <w:rFonts w:cs="Arial"/>
        </w:rPr>
      </w:r>
    </w:p>
    <w:p>
      <w:pPr>
        <w:pStyle w:val="ListParagraph"/>
        <w:ind w:left="1080" w:hanging="0"/>
        <w:rPr>
          <w:rFonts w:cs="Arial"/>
        </w:rPr>
      </w:pPr>
      <w:r>
        <w:rPr>
          <w:rFonts w:cs="Arial"/>
        </w:rPr>
      </w:r>
    </w:p>
    <w:p>
      <w:pPr>
        <w:pStyle w:val="ListParagraph"/>
        <w:ind w:left="1080" w:hanging="0"/>
        <w:rPr>
          <w:rFonts w:cs="Arial"/>
        </w:rPr>
      </w:pPr>
      <w:r>
        <w:rPr>
          <w:rFonts w:cs="Arial"/>
        </w:rPr>
      </w:r>
    </w:p>
    <w:tbl>
      <w:tblPr>
        <w:tblpPr w:bottomFromText="0" w:horzAnchor="margin" w:leftFromText="180" w:rightFromText="180" w:tblpX="0" w:tblpY="-42" w:topFromText="0" w:vertAnchor="text"/>
        <w:tblW w:w="9360"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9360"/>
      </w:tblGrid>
      <w:tr>
        <w:trPr/>
        <w:tc>
          <w:tcPr>
            <w:tcW w:w="9360" w:type="dxa"/>
            <w:tcBorders>
              <w:top w:val="single" w:sz="4" w:space="0" w:color="000000"/>
              <w:left w:val="single" w:sz="4" w:space="0" w:color="000000"/>
              <w:bottom w:val="single" w:sz="4" w:space="0" w:color="000000"/>
              <w:right w:val="single" w:sz="4" w:space="0" w:color="000000"/>
            </w:tcBorders>
            <w:shd w:color="auto" w:fill="000000" w:val="clear"/>
          </w:tcPr>
          <w:p>
            <w:pPr>
              <w:pStyle w:val="TextBody"/>
              <w:widowControl w:val="false"/>
              <w:numPr>
                <w:ilvl w:val="0"/>
                <w:numId w:val="0"/>
              </w:numPr>
              <w:spacing w:before="100" w:after="0"/>
              <w:ind w:left="0" w:hanging="0"/>
              <w:outlineLvl w:val="4"/>
              <w:rPr>
                <w:b/>
                <w:b/>
                <w:bCs/>
              </w:rPr>
            </w:pPr>
            <w:r>
              <w:rPr>
                <w:b/>
                <w:bCs/>
              </w:rPr>
              <w:t>Current Contract Commitments</w:t>
            </w:r>
          </w:p>
        </w:tc>
      </w:tr>
    </w:tbl>
    <w:p>
      <w:pPr>
        <w:pStyle w:val="Normal"/>
        <w:rPr>
          <w:b/>
          <w:b/>
          <w:smallCaps/>
          <w:color w:val="000000"/>
        </w:rPr>
      </w:pPr>
      <w:r>
        <w:rPr>
          <w:b/>
          <w:smallCaps/>
          <w:color w:val="000000"/>
        </w:rPr>
      </w:r>
    </w:p>
    <w:tbl>
      <w:tblPr>
        <w:tblpPr w:bottomFromText="0" w:horzAnchor="text" w:leftFromText="180" w:rightFromText="180" w:tblpX="0" w:tblpXSpec="center" w:tblpY="1" w:topFromText="0" w:vertAnchor="text"/>
        <w:tblW w:w="10980" w:type="dxa"/>
        <w:jc w:val="center"/>
        <w:tblInd w:w="0" w:type="dxa"/>
        <w:tblLayout w:type="fixed"/>
        <w:tblCellMar>
          <w:top w:w="0" w:type="dxa"/>
          <w:left w:w="72" w:type="dxa"/>
          <w:bottom w:w="0" w:type="dxa"/>
          <w:right w:w="72" w:type="dxa"/>
        </w:tblCellMar>
        <w:tblLook w:firstRow="0" w:noVBand="0" w:lastRow="0" w:firstColumn="0" w:lastColumn="0" w:noHBand="0" w:val="0000"/>
      </w:tblPr>
      <w:tblGrid>
        <w:gridCol w:w="521"/>
        <w:gridCol w:w="2341"/>
        <w:gridCol w:w="2160"/>
        <w:gridCol w:w="1619"/>
        <w:gridCol w:w="1621"/>
        <w:gridCol w:w="1259"/>
        <w:gridCol w:w="1458"/>
      </w:tblGrid>
      <w:tr>
        <w:trPr>
          <w:cantSplit w:val="true"/>
        </w:trPr>
        <w:tc>
          <w:tcPr>
            <w:tcW w:w="521" w:type="dxa"/>
            <w:tcBorders>
              <w:top w:val="single" w:sz="12" w:space="0" w:color="000000"/>
              <w:left w:val="single" w:sz="12" w:space="0" w:color="000000"/>
              <w:bottom w:val="single" w:sz="12" w:space="0" w:color="000000"/>
              <w:right w:val="single" w:sz="6" w:space="0" w:color="000000"/>
            </w:tcBorders>
            <w:vAlign w:val="center"/>
          </w:tcPr>
          <w:p>
            <w:pPr>
              <w:pStyle w:val="Heading3"/>
              <w:widowControl w:val="false"/>
              <w:spacing w:before="240" w:after="60"/>
              <w:jc w:val="both"/>
              <w:rPr>
                <w:rStyle w:val="Table"/>
                <w:rFonts w:eastAsia="" w:cs="Arial" w:eastAsiaTheme="majorEastAsia"/>
              </w:rPr>
            </w:pPr>
            <w:r>
              <w:rPr>
                <w:rStyle w:val="Table"/>
                <w:rFonts w:eastAsia="" w:cs="Arial" w:eastAsiaTheme="majorEastAsia"/>
              </w:rPr>
              <w:t>No</w:t>
            </w:r>
          </w:p>
        </w:tc>
        <w:tc>
          <w:tcPr>
            <w:tcW w:w="2341" w:type="dxa"/>
            <w:tcBorders>
              <w:top w:val="single" w:sz="12" w:space="0" w:color="000000"/>
              <w:left w:val="single" w:sz="6" w:space="0" w:color="000000"/>
              <w:bottom w:val="single" w:sz="12" w:space="0" w:color="000000"/>
              <w:right w:val="single" w:sz="6" w:space="0" w:color="000000"/>
            </w:tcBorders>
            <w:vAlign w:val="center"/>
          </w:tcPr>
          <w:p>
            <w:pPr>
              <w:pStyle w:val="Heading3"/>
              <w:widowControl w:val="false"/>
              <w:spacing w:before="240" w:after="60"/>
              <w:jc w:val="both"/>
              <w:rPr>
                <w:rStyle w:val="Table"/>
                <w:rFonts w:eastAsia="" w:cs="Arial" w:eastAsiaTheme="majorEastAsia"/>
              </w:rPr>
            </w:pPr>
            <w:r>
              <w:rPr>
                <w:rStyle w:val="Table"/>
                <w:rFonts w:eastAsia="" w:cs="Arial" w:eastAsiaTheme="majorEastAsia"/>
              </w:rPr>
              <w:t>Name &amp; description of Contract</w:t>
            </w:r>
          </w:p>
        </w:tc>
        <w:tc>
          <w:tcPr>
            <w:tcW w:w="2160" w:type="dxa"/>
            <w:tcBorders>
              <w:top w:val="single" w:sz="12" w:space="0" w:color="000000"/>
              <w:bottom w:val="single" w:sz="12" w:space="0" w:color="000000"/>
              <w:right w:val="single" w:sz="4" w:space="0" w:color="000000"/>
            </w:tcBorders>
            <w:vAlign w:val="center"/>
          </w:tcPr>
          <w:p>
            <w:pPr>
              <w:pStyle w:val="Normal"/>
              <w:widowControl w:val="false"/>
              <w:spacing w:before="100" w:after="100"/>
              <w:jc w:val="center"/>
              <w:rPr>
                <w:rStyle w:val="Table"/>
                <w:b/>
                <w:b/>
                <w:bCs/>
                <w:spacing w:val="-2"/>
              </w:rPr>
            </w:pPr>
            <w:r>
              <w:rPr>
                <w:rStyle w:val="Table"/>
                <w:b/>
                <w:bCs/>
                <w:spacing w:val="-2"/>
              </w:rPr>
              <w:t>Contact details of Employer (Name, Address, Tel, Fax, E-mail)</w:t>
            </w:r>
          </w:p>
        </w:tc>
        <w:tc>
          <w:tcPr>
            <w:tcW w:w="1619" w:type="dxa"/>
            <w:tcBorders>
              <w:top w:val="single" w:sz="12" w:space="0" w:color="000000"/>
              <w:left w:val="single" w:sz="4" w:space="0" w:color="000000"/>
              <w:bottom w:val="single" w:sz="12" w:space="0" w:color="000000"/>
              <w:right w:val="single" w:sz="6" w:space="0" w:color="000000"/>
            </w:tcBorders>
          </w:tcPr>
          <w:p>
            <w:pPr>
              <w:pStyle w:val="Normal"/>
              <w:widowControl w:val="false"/>
              <w:spacing w:before="100" w:after="100"/>
              <w:jc w:val="center"/>
              <w:rPr>
                <w:rStyle w:val="Table"/>
                <w:b/>
                <w:b/>
                <w:bCs/>
                <w:spacing w:val="-2"/>
              </w:rPr>
            </w:pPr>
            <w:r>
              <w:rPr>
                <w:rStyle w:val="Table"/>
                <w:b/>
                <w:bCs/>
                <w:spacing w:val="-2"/>
              </w:rPr>
              <w:t>Original contract amount</w:t>
            </w:r>
          </w:p>
          <w:p>
            <w:pPr>
              <w:pStyle w:val="Normal"/>
              <w:widowControl w:val="false"/>
              <w:spacing w:before="100" w:after="100"/>
              <w:jc w:val="center"/>
              <w:rPr>
                <w:rStyle w:val="Table"/>
                <w:b/>
                <w:b/>
                <w:bCs/>
                <w:spacing w:val="-2"/>
              </w:rPr>
            </w:pPr>
            <w:r>
              <w:rPr>
                <w:rStyle w:val="Table"/>
                <w:b/>
                <w:bCs/>
                <w:spacing w:val="-2"/>
              </w:rPr>
              <w:t>[US$ Equivalent]</w:t>
            </w:r>
          </w:p>
        </w:tc>
        <w:tc>
          <w:tcPr>
            <w:tcW w:w="1621" w:type="dxa"/>
            <w:tcBorders>
              <w:top w:val="single" w:sz="12" w:space="0" w:color="000000"/>
              <w:left w:val="single" w:sz="6" w:space="0" w:color="000000"/>
              <w:bottom w:val="single" w:sz="12" w:space="0" w:color="000000"/>
            </w:tcBorders>
            <w:vAlign w:val="center"/>
          </w:tcPr>
          <w:p>
            <w:pPr>
              <w:pStyle w:val="Normal"/>
              <w:widowControl w:val="false"/>
              <w:spacing w:before="100" w:after="100"/>
              <w:jc w:val="center"/>
              <w:rPr>
                <w:rStyle w:val="Table"/>
                <w:b/>
                <w:b/>
                <w:bCs/>
                <w:spacing w:val="-2"/>
              </w:rPr>
            </w:pPr>
            <w:r>
              <w:rPr>
                <w:rStyle w:val="Table"/>
                <w:b/>
                <w:bCs/>
                <w:spacing w:val="-2"/>
              </w:rPr>
              <w:t>Value of Outstanding Work</w:t>
            </w:r>
          </w:p>
          <w:p>
            <w:pPr>
              <w:pStyle w:val="Normal"/>
              <w:widowControl w:val="false"/>
              <w:spacing w:before="100" w:after="100"/>
              <w:jc w:val="center"/>
              <w:rPr>
                <w:rStyle w:val="Table"/>
                <w:b/>
                <w:b/>
                <w:bCs/>
                <w:spacing w:val="-2"/>
              </w:rPr>
            </w:pPr>
            <w:r>
              <w:rPr>
                <w:rStyle w:val="Table"/>
                <w:b/>
                <w:bCs/>
                <w:spacing w:val="-2"/>
              </w:rPr>
              <w:t>[Current US$ Equivalent]</w:t>
            </w:r>
          </w:p>
        </w:tc>
        <w:tc>
          <w:tcPr>
            <w:tcW w:w="1259" w:type="dxa"/>
            <w:tcBorders>
              <w:top w:val="single" w:sz="12" w:space="0" w:color="000000"/>
              <w:left w:val="single" w:sz="6" w:space="0" w:color="000000"/>
              <w:bottom w:val="single" w:sz="12" w:space="0" w:color="000000"/>
            </w:tcBorders>
            <w:vAlign w:val="center"/>
          </w:tcPr>
          <w:p>
            <w:pPr>
              <w:pStyle w:val="Normal"/>
              <w:widowControl w:val="false"/>
              <w:spacing w:before="100" w:after="100"/>
              <w:jc w:val="both"/>
              <w:rPr>
                <w:rStyle w:val="Table"/>
                <w:b/>
                <w:b/>
                <w:bCs/>
                <w:spacing w:val="-2"/>
              </w:rPr>
            </w:pPr>
            <w:r>
              <w:rPr>
                <w:rStyle w:val="Table"/>
                <w:b/>
                <w:bCs/>
                <w:spacing w:val="-2"/>
              </w:rPr>
              <w:t>Estimated Completion Date</w:t>
            </w:r>
          </w:p>
        </w:tc>
        <w:tc>
          <w:tcPr>
            <w:tcW w:w="1458" w:type="dxa"/>
            <w:tcBorders>
              <w:top w:val="single" w:sz="12" w:space="0" w:color="000000"/>
              <w:left w:val="single" w:sz="6" w:space="0" w:color="000000"/>
              <w:bottom w:val="single" w:sz="12" w:space="0" w:color="000000"/>
              <w:right w:val="single" w:sz="12" w:space="0" w:color="000000"/>
            </w:tcBorders>
            <w:vAlign w:val="center"/>
          </w:tcPr>
          <w:p>
            <w:pPr>
              <w:pStyle w:val="Normal"/>
              <w:widowControl w:val="false"/>
              <w:spacing w:before="100" w:after="100"/>
              <w:jc w:val="center"/>
              <w:rPr>
                <w:rStyle w:val="Table"/>
                <w:b/>
                <w:b/>
                <w:bCs/>
                <w:spacing w:val="-2"/>
              </w:rPr>
            </w:pPr>
            <w:r>
              <w:rPr>
                <w:rStyle w:val="Table"/>
                <w:b/>
                <w:bCs/>
                <w:spacing w:val="-2"/>
              </w:rPr>
              <w:t>Average Monthly Invoicing Over Last Six Months</w:t>
              <w:br/>
              <w:t>[US$/month)]</w:t>
            </w:r>
          </w:p>
        </w:tc>
      </w:tr>
      <w:tr>
        <w:trPr>
          <w:trHeight w:val="615" w:hRule="atLeast"/>
          <w:cantSplit w:val="true"/>
        </w:trPr>
        <w:tc>
          <w:tcPr>
            <w:tcW w:w="521" w:type="dxa"/>
            <w:tcBorders>
              <w:top w:val="single" w:sz="12" w:space="0" w:color="000000"/>
              <w:left w:val="single" w:sz="6" w:space="0" w:color="000000"/>
              <w:bottom w:val="single" w:sz="6" w:space="0" w:color="000000"/>
              <w:right w:val="single" w:sz="6" w:space="0" w:color="000000"/>
            </w:tcBorders>
          </w:tcPr>
          <w:p>
            <w:pPr>
              <w:pStyle w:val="Normal"/>
              <w:widowControl w:val="false"/>
              <w:spacing w:before="100" w:after="100"/>
              <w:jc w:val="both"/>
              <w:rPr>
                <w:rStyle w:val="Table"/>
                <w:spacing w:val="-2"/>
              </w:rPr>
            </w:pPr>
            <w:r>
              <w:rPr>
                <w:rStyle w:val="Table"/>
                <w:spacing w:val="-2"/>
              </w:rPr>
              <w:t>1</w:t>
            </w:r>
          </w:p>
        </w:tc>
        <w:tc>
          <w:tcPr>
            <w:tcW w:w="2341" w:type="dxa"/>
            <w:tcBorders>
              <w:top w:val="single" w:sz="12" w:space="0" w:color="000000"/>
              <w:left w:val="single" w:sz="6" w:space="0" w:color="000000"/>
              <w:bottom w:val="single" w:sz="6" w:space="0" w:color="000000"/>
              <w:right w:val="single" w:sz="6" w:space="0" w:color="000000"/>
            </w:tcBorders>
            <w:vAlign w:val="center"/>
          </w:tcPr>
          <w:p>
            <w:pPr>
              <w:pStyle w:val="Normal"/>
              <w:widowControl w:val="false"/>
              <w:spacing w:before="100" w:after="100"/>
              <w:jc w:val="both"/>
              <w:rPr>
                <w:rStyle w:val="Table"/>
                <w:spacing w:val="-2"/>
              </w:rPr>
            </w:pPr>
            <w:r>
              <w:rPr>
                <w:spacing w:val="-2"/>
              </w:rPr>
            </w:r>
          </w:p>
          <w:p>
            <w:pPr>
              <w:pStyle w:val="Normal"/>
              <w:widowControl w:val="false"/>
              <w:spacing w:before="100" w:after="100"/>
              <w:jc w:val="both"/>
              <w:rPr>
                <w:rStyle w:val="Table"/>
                <w:spacing w:val="-2"/>
              </w:rPr>
            </w:pPr>
            <w:r>
              <w:rPr>
                <w:spacing w:val="-2"/>
              </w:rPr>
            </w:r>
          </w:p>
        </w:tc>
        <w:tc>
          <w:tcPr>
            <w:tcW w:w="2160" w:type="dxa"/>
            <w:tcBorders>
              <w:top w:val="single" w:sz="12"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619" w:type="dxa"/>
            <w:tcBorders>
              <w:top w:val="single" w:sz="12" w:space="0" w:color="000000"/>
              <w:left w:val="single" w:sz="4" w:space="0" w:color="000000"/>
              <w:right w:val="single" w:sz="6" w:space="0" w:color="000000"/>
            </w:tcBorders>
          </w:tcPr>
          <w:p>
            <w:pPr>
              <w:pStyle w:val="Normal"/>
              <w:widowControl w:val="false"/>
              <w:spacing w:before="100" w:after="100"/>
              <w:jc w:val="both"/>
              <w:rPr>
                <w:rStyle w:val="Table"/>
                <w:spacing w:val="-2"/>
              </w:rPr>
            </w:pPr>
            <w:r>
              <w:rPr>
                <w:spacing w:val="-2"/>
              </w:rPr>
            </w:r>
          </w:p>
        </w:tc>
        <w:tc>
          <w:tcPr>
            <w:tcW w:w="1621" w:type="dxa"/>
            <w:tcBorders>
              <w:top w:val="single" w:sz="12" w:space="0" w:color="000000"/>
              <w:left w:val="single" w:sz="6" w:space="0" w:color="000000"/>
            </w:tcBorders>
          </w:tcPr>
          <w:p>
            <w:pPr>
              <w:pStyle w:val="Normal"/>
              <w:widowControl w:val="false"/>
              <w:spacing w:before="100" w:after="100"/>
              <w:jc w:val="both"/>
              <w:rPr>
                <w:rStyle w:val="Table"/>
                <w:spacing w:val="-2"/>
              </w:rPr>
            </w:pPr>
            <w:r>
              <w:rPr>
                <w:spacing w:val="-2"/>
              </w:rPr>
            </w:r>
          </w:p>
        </w:tc>
        <w:tc>
          <w:tcPr>
            <w:tcW w:w="1259" w:type="dxa"/>
            <w:tcBorders>
              <w:top w:val="single" w:sz="12" w:space="0" w:color="000000"/>
              <w:left w:val="single" w:sz="6" w:space="0" w:color="000000"/>
            </w:tcBorders>
          </w:tcPr>
          <w:p>
            <w:pPr>
              <w:pStyle w:val="Normal"/>
              <w:widowControl w:val="false"/>
              <w:spacing w:before="100" w:after="100"/>
              <w:jc w:val="both"/>
              <w:rPr>
                <w:rStyle w:val="Table"/>
                <w:spacing w:val="-2"/>
              </w:rPr>
            </w:pPr>
            <w:r>
              <w:rPr>
                <w:spacing w:val="-2"/>
              </w:rPr>
            </w:r>
          </w:p>
        </w:tc>
        <w:tc>
          <w:tcPr>
            <w:tcW w:w="1458" w:type="dxa"/>
            <w:tcBorders>
              <w:top w:val="single" w:sz="12" w:space="0" w:color="000000"/>
              <w:left w:val="single" w:sz="6" w:space="0" w:color="000000"/>
              <w:bottom w:val="single" w:sz="6" w:space="0" w:color="000000"/>
              <w:right w:val="single" w:sz="6" w:space="0" w:color="000000"/>
            </w:tcBorders>
          </w:tcPr>
          <w:p>
            <w:pPr>
              <w:pStyle w:val="Normal"/>
              <w:widowControl w:val="false"/>
              <w:spacing w:before="100" w:after="100"/>
              <w:jc w:val="both"/>
              <w:rPr>
                <w:rStyle w:val="Table"/>
                <w:spacing w:val="-2"/>
              </w:rPr>
            </w:pPr>
            <w:r>
              <w:rPr>
                <w:spacing w:val="-2"/>
              </w:rPr>
            </w:r>
          </w:p>
        </w:tc>
      </w:tr>
      <w:tr>
        <w:trPr>
          <w:trHeight w:val="648" w:hRule="atLeast"/>
          <w:cantSplit w:val="true"/>
        </w:trPr>
        <w:tc>
          <w:tcPr>
            <w:tcW w:w="52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00" w:after="100"/>
              <w:jc w:val="both"/>
              <w:rPr>
                <w:rStyle w:val="Table"/>
                <w:spacing w:val="-2"/>
              </w:rPr>
            </w:pPr>
            <w:r>
              <w:rPr>
                <w:rStyle w:val="Table"/>
                <w:spacing w:val="-2"/>
              </w:rPr>
              <w:t>2</w:t>
            </w:r>
          </w:p>
        </w:tc>
        <w:tc>
          <w:tcPr>
            <w:tcW w:w="23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100" w:after="100"/>
              <w:jc w:val="both"/>
              <w:rPr>
                <w:rStyle w:val="Table"/>
                <w:spacing w:val="-2"/>
              </w:rPr>
            </w:pPr>
            <w:r>
              <w:rPr>
                <w:spacing w:val="-2"/>
              </w:rPr>
            </w:r>
          </w:p>
          <w:p>
            <w:pPr>
              <w:pStyle w:val="Normal"/>
              <w:widowControl w:val="false"/>
              <w:spacing w:before="100" w:after="100"/>
              <w:jc w:val="both"/>
              <w:rPr>
                <w:rStyle w:val="Table"/>
                <w:spacing w:val="-2"/>
              </w:rPr>
            </w:pPr>
            <w:r>
              <w:rPr>
                <w:spacing w:val="-2"/>
              </w:rPr>
            </w:r>
          </w:p>
        </w:tc>
        <w:tc>
          <w:tcPr>
            <w:tcW w:w="2160" w:type="dxa"/>
            <w:tcBorders>
              <w:top w:val="single" w:sz="6"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619" w:type="dxa"/>
            <w:tcBorders>
              <w:top w:val="single" w:sz="6" w:space="0" w:color="000000"/>
              <w:left w:val="single" w:sz="4" w:space="0" w:color="000000"/>
              <w:right w:val="single" w:sz="6" w:space="0" w:color="000000"/>
            </w:tcBorders>
          </w:tcPr>
          <w:p>
            <w:pPr>
              <w:pStyle w:val="Normal"/>
              <w:widowControl w:val="false"/>
              <w:spacing w:before="100" w:after="100"/>
              <w:jc w:val="both"/>
              <w:rPr>
                <w:rStyle w:val="Table"/>
                <w:spacing w:val="-2"/>
              </w:rPr>
            </w:pPr>
            <w:r>
              <w:rPr>
                <w:spacing w:val="-2"/>
              </w:rPr>
            </w:r>
          </w:p>
        </w:tc>
        <w:tc>
          <w:tcPr>
            <w:tcW w:w="1621" w:type="dxa"/>
            <w:tcBorders>
              <w:top w:val="single" w:sz="6" w:space="0" w:color="000000"/>
              <w:left w:val="single" w:sz="6" w:space="0" w:color="000000"/>
            </w:tcBorders>
          </w:tcPr>
          <w:p>
            <w:pPr>
              <w:pStyle w:val="Normal"/>
              <w:widowControl w:val="false"/>
              <w:spacing w:before="100" w:after="100"/>
              <w:jc w:val="both"/>
              <w:rPr>
                <w:rStyle w:val="Table"/>
                <w:spacing w:val="-2"/>
              </w:rPr>
            </w:pPr>
            <w:r>
              <w:rPr>
                <w:spacing w:val="-2"/>
              </w:rPr>
            </w:r>
          </w:p>
        </w:tc>
        <w:tc>
          <w:tcPr>
            <w:tcW w:w="1259" w:type="dxa"/>
            <w:tcBorders>
              <w:top w:val="single" w:sz="6" w:space="0" w:color="000000"/>
              <w:left w:val="single" w:sz="6" w:space="0" w:color="000000"/>
            </w:tcBorders>
          </w:tcPr>
          <w:p>
            <w:pPr>
              <w:pStyle w:val="Normal"/>
              <w:widowControl w:val="false"/>
              <w:spacing w:before="100" w:after="100"/>
              <w:jc w:val="both"/>
              <w:rPr>
                <w:rStyle w:val="Table"/>
                <w:spacing w:val="-2"/>
              </w:rPr>
            </w:pPr>
            <w:r>
              <w:rPr>
                <w:spacing w:val="-2"/>
              </w:rPr>
            </w:r>
          </w:p>
        </w:tc>
        <w:tc>
          <w:tcPr>
            <w:tcW w:w="1458"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00" w:after="100"/>
              <w:jc w:val="both"/>
              <w:rPr>
                <w:rStyle w:val="Table"/>
                <w:spacing w:val="-2"/>
              </w:rPr>
            </w:pPr>
            <w:r>
              <w:rPr>
                <w:spacing w:val="-2"/>
              </w:rPr>
            </w:r>
          </w:p>
        </w:tc>
      </w:tr>
      <w:tr>
        <w:trPr>
          <w:cantSplit w:val="true"/>
        </w:trPr>
        <w:tc>
          <w:tcPr>
            <w:tcW w:w="52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00" w:after="100"/>
              <w:jc w:val="both"/>
              <w:rPr>
                <w:rStyle w:val="Table"/>
                <w:spacing w:val="-2"/>
              </w:rPr>
            </w:pPr>
            <w:r>
              <w:rPr>
                <w:rStyle w:val="Table"/>
                <w:spacing w:val="-2"/>
              </w:rPr>
              <w:t>3</w:t>
            </w:r>
          </w:p>
        </w:tc>
        <w:tc>
          <w:tcPr>
            <w:tcW w:w="23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100" w:after="100"/>
              <w:jc w:val="both"/>
              <w:rPr>
                <w:rStyle w:val="Table"/>
                <w:spacing w:val="-2"/>
              </w:rPr>
            </w:pPr>
            <w:r>
              <w:rPr>
                <w:spacing w:val="-2"/>
              </w:rPr>
            </w:r>
          </w:p>
          <w:p>
            <w:pPr>
              <w:pStyle w:val="Normal"/>
              <w:widowControl w:val="false"/>
              <w:spacing w:before="100" w:after="100"/>
              <w:jc w:val="both"/>
              <w:rPr>
                <w:rStyle w:val="Table"/>
                <w:spacing w:val="-2"/>
              </w:rPr>
            </w:pPr>
            <w:r>
              <w:rPr>
                <w:spacing w:val="-2"/>
              </w:rPr>
            </w:r>
          </w:p>
        </w:tc>
        <w:tc>
          <w:tcPr>
            <w:tcW w:w="2160" w:type="dxa"/>
            <w:tcBorders>
              <w:top w:val="single" w:sz="6"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619" w:type="dxa"/>
            <w:tcBorders>
              <w:top w:val="single" w:sz="6" w:space="0" w:color="000000"/>
              <w:left w:val="single" w:sz="4" w:space="0" w:color="000000"/>
              <w:right w:val="single" w:sz="6" w:space="0" w:color="000000"/>
            </w:tcBorders>
          </w:tcPr>
          <w:p>
            <w:pPr>
              <w:pStyle w:val="Normal"/>
              <w:widowControl w:val="false"/>
              <w:spacing w:before="100" w:after="100"/>
              <w:jc w:val="both"/>
              <w:rPr>
                <w:rStyle w:val="Table"/>
                <w:spacing w:val="-2"/>
              </w:rPr>
            </w:pPr>
            <w:r>
              <w:rPr>
                <w:spacing w:val="-2"/>
              </w:rPr>
            </w:r>
          </w:p>
        </w:tc>
        <w:tc>
          <w:tcPr>
            <w:tcW w:w="1621" w:type="dxa"/>
            <w:tcBorders>
              <w:top w:val="single" w:sz="6" w:space="0" w:color="000000"/>
              <w:left w:val="single" w:sz="6" w:space="0" w:color="000000"/>
            </w:tcBorders>
          </w:tcPr>
          <w:p>
            <w:pPr>
              <w:pStyle w:val="Normal"/>
              <w:widowControl w:val="false"/>
              <w:spacing w:before="100" w:after="100"/>
              <w:jc w:val="both"/>
              <w:rPr>
                <w:rStyle w:val="Table"/>
                <w:spacing w:val="-2"/>
              </w:rPr>
            </w:pPr>
            <w:r>
              <w:rPr>
                <w:spacing w:val="-2"/>
              </w:rPr>
            </w:r>
          </w:p>
        </w:tc>
        <w:tc>
          <w:tcPr>
            <w:tcW w:w="1259" w:type="dxa"/>
            <w:tcBorders>
              <w:top w:val="single" w:sz="6" w:space="0" w:color="000000"/>
              <w:left w:val="single" w:sz="6" w:space="0" w:color="000000"/>
            </w:tcBorders>
          </w:tcPr>
          <w:p>
            <w:pPr>
              <w:pStyle w:val="Normal"/>
              <w:widowControl w:val="false"/>
              <w:spacing w:before="100" w:after="100"/>
              <w:jc w:val="both"/>
              <w:rPr>
                <w:rStyle w:val="Table"/>
                <w:spacing w:val="-2"/>
              </w:rPr>
            </w:pPr>
            <w:r>
              <w:rPr>
                <w:spacing w:val="-2"/>
              </w:rPr>
            </w:r>
          </w:p>
        </w:tc>
        <w:tc>
          <w:tcPr>
            <w:tcW w:w="1458"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00" w:after="100"/>
              <w:jc w:val="both"/>
              <w:rPr>
                <w:rStyle w:val="Table"/>
                <w:spacing w:val="-2"/>
              </w:rPr>
            </w:pPr>
            <w:r>
              <w:rPr>
                <w:spacing w:val="-2"/>
              </w:rPr>
            </w:r>
          </w:p>
        </w:tc>
      </w:tr>
      <w:tr>
        <w:trPr>
          <w:trHeight w:val="720" w:hRule="atLeast"/>
          <w:cantSplit w:val="true"/>
        </w:trPr>
        <w:tc>
          <w:tcPr>
            <w:tcW w:w="521" w:type="dxa"/>
            <w:tcBorders>
              <w:top w:val="single" w:sz="6" w:space="0" w:color="000000"/>
              <w:left w:val="single" w:sz="6" w:space="0" w:color="000000"/>
              <w:bottom w:val="single" w:sz="6" w:space="0" w:color="000000"/>
              <w:right w:val="single" w:sz="6" w:space="0" w:color="000000"/>
            </w:tcBorders>
          </w:tcPr>
          <w:p>
            <w:pPr>
              <w:pStyle w:val="Normal"/>
              <w:widowControl w:val="false"/>
              <w:spacing w:before="100" w:after="100"/>
              <w:jc w:val="both"/>
              <w:rPr>
                <w:rStyle w:val="Table"/>
                <w:spacing w:val="-2"/>
              </w:rPr>
            </w:pPr>
            <w:r>
              <w:rPr>
                <w:rStyle w:val="Table"/>
                <w:spacing w:val="-2"/>
              </w:rPr>
              <w:t>4</w:t>
            </w:r>
          </w:p>
        </w:tc>
        <w:tc>
          <w:tcPr>
            <w:tcW w:w="2341" w:type="dxa"/>
            <w:tcBorders>
              <w:top w:val="single" w:sz="6" w:space="0" w:color="000000"/>
              <w:left w:val="single" w:sz="6" w:space="0" w:color="000000"/>
              <w:bottom w:val="single" w:sz="4" w:space="0" w:color="000000"/>
              <w:right w:val="single" w:sz="6" w:space="0" w:color="000000"/>
            </w:tcBorders>
            <w:vAlign w:val="center"/>
          </w:tcPr>
          <w:p>
            <w:pPr>
              <w:pStyle w:val="Normal"/>
              <w:widowControl w:val="false"/>
              <w:spacing w:before="100" w:after="100"/>
              <w:jc w:val="both"/>
              <w:rPr>
                <w:rStyle w:val="Table"/>
                <w:spacing w:val="-2"/>
              </w:rPr>
            </w:pPr>
            <w:r>
              <w:rPr>
                <w:spacing w:val="-2"/>
              </w:rPr>
            </w:r>
          </w:p>
          <w:p>
            <w:pPr>
              <w:pStyle w:val="Normal"/>
              <w:widowControl w:val="false"/>
              <w:spacing w:before="100" w:after="100"/>
              <w:jc w:val="both"/>
              <w:rPr>
                <w:rStyle w:val="Table"/>
                <w:spacing w:val="-2"/>
              </w:rPr>
            </w:pPr>
            <w:r>
              <w:rPr>
                <w:spacing w:val="-2"/>
              </w:rPr>
            </w:r>
          </w:p>
        </w:tc>
        <w:tc>
          <w:tcPr>
            <w:tcW w:w="2160" w:type="dxa"/>
            <w:tcBorders>
              <w:top w:val="single" w:sz="6" w:space="0" w:color="000000"/>
              <w:bottom w:val="single" w:sz="4"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619" w:type="dxa"/>
            <w:tcBorders>
              <w:top w:val="single" w:sz="6" w:space="0" w:color="000000"/>
              <w:left w:val="single" w:sz="4" w:space="0" w:color="000000"/>
              <w:bottom w:val="single" w:sz="4" w:space="0" w:color="000000"/>
              <w:right w:val="single" w:sz="6" w:space="0" w:color="000000"/>
            </w:tcBorders>
          </w:tcPr>
          <w:p>
            <w:pPr>
              <w:pStyle w:val="Normal"/>
              <w:widowControl w:val="false"/>
              <w:spacing w:before="100" w:after="100"/>
              <w:jc w:val="both"/>
              <w:rPr>
                <w:rStyle w:val="Table"/>
                <w:spacing w:val="-2"/>
              </w:rPr>
            </w:pPr>
            <w:r>
              <w:rPr>
                <w:spacing w:val="-2"/>
              </w:rPr>
            </w:r>
          </w:p>
        </w:tc>
        <w:tc>
          <w:tcPr>
            <w:tcW w:w="1621" w:type="dxa"/>
            <w:tcBorders>
              <w:top w:val="single" w:sz="6" w:space="0" w:color="000000"/>
              <w:left w:val="single" w:sz="6" w:space="0" w:color="000000"/>
              <w:bottom w:val="single" w:sz="4" w:space="0" w:color="000000"/>
            </w:tcBorders>
          </w:tcPr>
          <w:p>
            <w:pPr>
              <w:pStyle w:val="Normal"/>
              <w:widowControl w:val="false"/>
              <w:spacing w:before="100" w:after="100"/>
              <w:jc w:val="both"/>
              <w:rPr>
                <w:rStyle w:val="Table"/>
                <w:spacing w:val="-2"/>
              </w:rPr>
            </w:pPr>
            <w:r>
              <w:rPr>
                <w:spacing w:val="-2"/>
              </w:rPr>
            </w:r>
          </w:p>
        </w:tc>
        <w:tc>
          <w:tcPr>
            <w:tcW w:w="1259" w:type="dxa"/>
            <w:tcBorders>
              <w:top w:val="single" w:sz="6" w:space="0" w:color="000000"/>
              <w:left w:val="single" w:sz="6" w:space="0" w:color="000000"/>
              <w:bottom w:val="single" w:sz="4" w:space="0" w:color="000000"/>
            </w:tcBorders>
          </w:tcPr>
          <w:p>
            <w:pPr>
              <w:pStyle w:val="Normal"/>
              <w:widowControl w:val="false"/>
              <w:spacing w:before="100" w:after="100"/>
              <w:jc w:val="both"/>
              <w:rPr>
                <w:rStyle w:val="Table"/>
                <w:spacing w:val="-2"/>
              </w:rPr>
            </w:pPr>
            <w:r>
              <w:rPr>
                <w:spacing w:val="-2"/>
              </w:rPr>
            </w:r>
          </w:p>
        </w:tc>
        <w:tc>
          <w:tcPr>
            <w:tcW w:w="1458" w:type="dxa"/>
            <w:tcBorders>
              <w:top w:val="single" w:sz="6" w:space="0" w:color="000000"/>
              <w:left w:val="single" w:sz="6" w:space="0" w:color="000000"/>
              <w:bottom w:val="single" w:sz="4" w:space="0" w:color="000000"/>
              <w:right w:val="single" w:sz="6" w:space="0" w:color="000000"/>
            </w:tcBorders>
          </w:tcPr>
          <w:p>
            <w:pPr>
              <w:pStyle w:val="Normal"/>
              <w:widowControl w:val="false"/>
              <w:spacing w:before="100" w:after="100"/>
              <w:jc w:val="both"/>
              <w:rPr>
                <w:rStyle w:val="Table"/>
                <w:spacing w:val="-2"/>
              </w:rPr>
            </w:pPr>
            <w:r>
              <w:rPr>
                <w:spacing w:val="-2"/>
              </w:rPr>
            </w:r>
          </w:p>
        </w:tc>
      </w:tr>
      <w:tr>
        <w:trPr>
          <w:trHeight w:val="567" w:hRule="atLeast"/>
          <w:cantSplit w:val="true"/>
        </w:trPr>
        <w:tc>
          <w:tcPr>
            <w:tcW w:w="521" w:type="dxa"/>
            <w:tcBorders>
              <w:top w:val="single" w:sz="6" w:space="0" w:color="000000"/>
              <w:left w:val="single" w:sz="6" w:space="0" w:color="000000"/>
              <w:bottom w:val="single" w:sz="6" w:space="0" w:color="000000"/>
              <w:right w:val="single" w:sz="4" w:space="0" w:color="000000"/>
            </w:tcBorders>
          </w:tcPr>
          <w:p>
            <w:pPr>
              <w:pStyle w:val="Normal"/>
              <w:widowControl w:val="false"/>
              <w:spacing w:before="100" w:after="100"/>
              <w:jc w:val="both"/>
              <w:rPr>
                <w:rStyle w:val="Table"/>
                <w:spacing w:val="-2"/>
              </w:rPr>
            </w:pPr>
            <w:r>
              <w:rPr>
                <w:rStyle w:val="Table"/>
                <w:spacing w:val="-2"/>
              </w:rPr>
              <w:t>5</w:t>
            </w:r>
          </w:p>
        </w:tc>
        <w:tc>
          <w:tcPr>
            <w:tcW w:w="23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100"/>
              <w:jc w:val="both"/>
              <w:rPr>
                <w:rStyle w:val="Table"/>
                <w:spacing w:val="-2"/>
              </w:rPr>
            </w:pPr>
            <w:r>
              <w:rPr>
                <w:spacing w:val="-2"/>
              </w:rPr>
            </w:r>
          </w:p>
          <w:p>
            <w:pPr>
              <w:pStyle w:val="Normal"/>
              <w:widowControl w:val="false"/>
              <w:spacing w:before="100" w:after="100"/>
              <w:jc w:val="both"/>
              <w:rPr>
                <w:rStyle w:val="Table"/>
                <w:spacing w:val="-2"/>
              </w:rPr>
            </w:pPr>
            <w:r>
              <w:rPr>
                <w:spacing w:val="-2"/>
              </w:rPr>
            </w:r>
          </w:p>
        </w:tc>
        <w:tc>
          <w:tcPr>
            <w:tcW w:w="21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61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62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rStyle w:val="Table"/>
                <w:spacing w:val="-2"/>
              </w:rPr>
            </w:pPr>
            <w:r>
              <w:rPr>
                <w:spacing w:val="-2"/>
              </w:rPr>
            </w:r>
          </w:p>
        </w:tc>
        <w:tc>
          <w:tcPr>
            <w:tcW w:w="145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100"/>
              <w:jc w:val="both"/>
              <w:rPr>
                <w:rStyle w:val="Table"/>
                <w:spacing w:val="-2"/>
              </w:rPr>
            </w:pPr>
            <w:r>
              <w:rPr>
                <w:spacing w:val="-2"/>
              </w:rPr>
            </w:r>
          </w:p>
        </w:tc>
      </w:tr>
    </w:tbl>
    <w:p>
      <w:pPr>
        <w:pStyle w:val="Heading5"/>
        <w:ind w:left="-5" w:hanging="0"/>
        <w:rPr>
          <w:b w:val="false"/>
          <w:b w:val="false"/>
          <w:bCs/>
          <w:i/>
          <w:i/>
          <w:sz w:val="20"/>
          <w:szCs w:val="20"/>
          <w:u w:val="none" w:color="000000"/>
        </w:rPr>
      </w:pPr>
      <w:r>
        <w:rPr>
          <w:bCs/>
          <w:i/>
          <w:sz w:val="20"/>
          <w:szCs w:val="20"/>
          <w:u w:val="none" w:color="000000"/>
          <w:lang w:val="ru-RU"/>
        </w:rPr>
        <w:t>с</w:t>
      </w:r>
      <w:r>
        <w:rPr>
          <w:bCs/>
          <w:i/>
          <w:sz w:val="20"/>
          <w:szCs w:val="20"/>
          <w:u w:val="none" w:color="000000"/>
        </w:rPr>
        <w:t xml:space="preserve">. Financial Capacity  </w:t>
      </w:r>
    </w:p>
    <w:p>
      <w:pPr>
        <w:pStyle w:val="Normal"/>
        <w:spacing w:before="0" w:after="0"/>
        <w:textAlignment w:val="baseline"/>
        <w:rPr>
          <w:b/>
          <w:b/>
          <w:smallCaps/>
          <w:color w:val="000000"/>
        </w:rPr>
      </w:pPr>
      <w:r>
        <w:rPr>
          <w:b/>
          <w:smallCaps/>
          <w:color w:val="000000"/>
        </w:rPr>
      </w:r>
    </w:p>
    <w:p>
      <w:pPr>
        <w:pStyle w:val="Normal"/>
        <w:spacing w:before="0" w:after="0"/>
        <w:textAlignment w:val="baseline"/>
        <w:rPr>
          <w:b/>
          <w:b/>
          <w:caps/>
          <w:lang w:val="uk-UA"/>
        </w:rPr>
      </w:pPr>
      <w:r>
        <w:rPr/>
        <w:t>Total volume of business (Revenue) in year 201</w:t>
      </w:r>
      <w:r>
        <w:rPr>
          <w:lang w:val="en-US"/>
        </w:rPr>
        <w:t>7</w:t>
      </w:r>
      <w:r>
        <w:rPr/>
        <w:t xml:space="preserve"> ____USD</w:t>
      </w:r>
    </w:p>
    <w:p>
      <w:pPr>
        <w:pStyle w:val="Normal"/>
        <w:spacing w:before="0" w:after="0"/>
        <w:textAlignment w:val="baseline"/>
        <w:rPr>
          <w:b/>
          <w:b/>
          <w:caps/>
          <w:lang w:val="uk-UA"/>
        </w:rPr>
      </w:pPr>
      <w:r>
        <w:rPr/>
        <w:t>Total volume of business (Revenue) in year 201</w:t>
      </w:r>
      <w:r>
        <w:rPr>
          <w:lang w:val="en-US"/>
        </w:rPr>
        <w:t>8</w:t>
      </w:r>
      <w:r>
        <w:rPr/>
        <w:t xml:space="preserve"> ____USD</w:t>
      </w:r>
    </w:p>
    <w:p>
      <w:pPr>
        <w:pStyle w:val="Normal"/>
        <w:spacing w:before="0" w:after="0"/>
        <w:textAlignment w:val="baseline"/>
        <w:rPr>
          <w:b/>
          <w:b/>
          <w:caps/>
          <w:lang w:val="uk-UA"/>
        </w:rPr>
      </w:pPr>
      <w:r>
        <w:rPr/>
        <w:t>Total volume of business (Revenue) in year 201</w:t>
      </w:r>
      <w:r>
        <w:rPr>
          <w:lang w:val="en-US"/>
        </w:rPr>
        <w:t>9</w:t>
      </w:r>
      <w:r>
        <w:rPr/>
        <w:t xml:space="preserve"> ____USD</w:t>
      </w:r>
    </w:p>
    <w:p>
      <w:pPr>
        <w:pStyle w:val="Normal"/>
        <w:spacing w:before="0" w:after="0"/>
        <w:textAlignment w:val="baseline"/>
        <w:rPr>
          <w:b/>
          <w:b/>
          <w:smallCaps/>
          <w:color w:val="000000"/>
        </w:rPr>
      </w:pPr>
      <w:r>
        <w:rPr>
          <w:b/>
          <w:smallCaps/>
          <w:color w:val="000000"/>
        </w:rPr>
      </w:r>
    </w:p>
    <w:p>
      <w:pPr>
        <w:pStyle w:val="Normal"/>
        <w:spacing w:before="0" w:after="0"/>
        <w:jc w:val="both"/>
        <w:rPr>
          <w:i/>
          <w:i/>
        </w:rPr>
      </w:pPr>
      <w:r>
        <w:rPr>
          <w:i/>
          <w:u w:val="single"/>
        </w:rPr>
        <w:t>Note to Bidders:</w:t>
      </w:r>
      <w:r>
        <w:rPr>
          <w:b/>
          <w:i/>
        </w:rPr>
        <w:t xml:space="preserve">  </w:t>
      </w:r>
      <w:r>
        <w:rPr>
          <w:i/>
        </w:rPr>
        <w:t>Bidder must submit certified copies (signed by authorized person and stamped, if stamp is used by company) of following financial statements: Income Statement (Form2 for legal entities registered in Ukraine, declaration of income statements for private entrepreneurs or equivalent for foreign companies) and Balance sheet (Form1 for legal entities registered in Ukraine or equivalent for foreign companies) for the last three years with accompanying audit report (if available). These financial statements should be registered at respective state authorities and has marks/cheques confirming this.</w:t>
      </w:r>
    </w:p>
    <w:p>
      <w:pPr>
        <w:pStyle w:val="Normal"/>
        <w:jc w:val="both"/>
        <w:rPr>
          <w:i/>
          <w:i/>
        </w:rPr>
      </w:pPr>
      <w:r>
        <w:rPr>
          <w:i/>
        </w:rPr>
        <w:t xml:space="preserve">Should the currency of the financial statement be in a currency other than USD, the exchange rate used to convert must be based on the UN operational rate of exchange on the 31 Dec of the relevant year.  </w:t>
      </w:r>
    </w:p>
    <w:p>
      <w:pPr>
        <w:pStyle w:val="Normal"/>
        <w:jc w:val="both"/>
        <w:rPr>
          <w:i/>
          <w:i/>
        </w:rPr>
      </w:pPr>
      <w:r>
        <w:rPr>
          <w:i/>
        </w:rPr>
        <w:t xml:space="preserve">Exchange rates are available in </w:t>
      </w:r>
      <w:hyperlink r:id="rId22">
        <w:r>
          <w:rPr>
            <w:rStyle w:val="InternetLink"/>
            <w:i/>
          </w:rPr>
          <w:t>http://treasury.un.org/</w:t>
        </w:r>
      </w:hyperlink>
    </w:p>
    <w:p>
      <w:pPr>
        <w:pStyle w:val="MarginText"/>
        <w:keepNext w:val="true"/>
        <w:suppressAutoHyphens w:val="true"/>
        <w:spacing w:lineRule="auto" w:line="240" w:before="0" w:after="0"/>
        <w:ind w:left="360" w:hanging="0"/>
        <w:rPr>
          <w:rFonts w:ascii="Arial" w:hAnsi="Arial" w:cs="Arial"/>
          <w:bCs/>
          <w:sz w:val="24"/>
          <w:szCs w:val="24"/>
          <w:lang w:val="en-AU"/>
        </w:rPr>
      </w:pPr>
      <w:r>
        <w:rPr>
          <w:rFonts w:cs="Arial" w:ascii="Arial" w:hAnsi="Arial"/>
          <w:bCs/>
          <w:sz w:val="24"/>
          <w:szCs w:val="24"/>
          <w:lang w:val="en-AU"/>
        </w:rPr>
      </w:r>
    </w:p>
    <w:p>
      <w:pPr>
        <w:pStyle w:val="MarginText"/>
        <w:keepNext w:val="true"/>
        <w:spacing w:lineRule="auto" w:line="240" w:before="0" w:after="0"/>
        <w:ind w:left="1080" w:hanging="0"/>
        <w:rPr>
          <w:rFonts w:ascii="Arial" w:hAnsi="Arial" w:cs="Arial"/>
          <w:b/>
          <w:b/>
          <w:bCs/>
          <w:color w:val="000000"/>
          <w:szCs w:val="22"/>
          <w:lang w:val="en-AU"/>
        </w:rPr>
      </w:pPr>
      <w:r>
        <w:rPr>
          <w:rFonts w:cs="Arial" w:ascii="Arial" w:hAnsi="Arial"/>
          <w:b/>
          <w:bCs/>
          <w:color w:val="000000"/>
          <w:szCs w:val="22"/>
          <w:lang w:val="en-AU"/>
        </w:rPr>
        <w:t>Assets</w:t>
      </w:r>
    </w:p>
    <w:p>
      <w:pPr>
        <w:pStyle w:val="MarginText"/>
        <w:spacing w:lineRule="auto" w:line="240" w:before="0" w:after="0"/>
        <w:rPr>
          <w:rFonts w:ascii="Arial" w:hAnsi="Arial" w:cs="Arial"/>
          <w:color w:val="000000"/>
          <w:szCs w:val="22"/>
          <w:lang w:val="en-AU"/>
        </w:rPr>
      </w:pPr>
      <w:r>
        <w:rPr>
          <w:rFonts w:cs="Arial" w:ascii="Arial" w:hAnsi="Arial"/>
          <w:color w:val="000000"/>
          <w:szCs w:val="22"/>
          <w:lang w:val="en-AU"/>
        </w:rPr>
        <w:t>[</w:t>
      </w:r>
      <w:r>
        <w:rPr>
          <w:rFonts w:cs="Arial" w:ascii="Arial" w:hAnsi="Arial"/>
          <w:b/>
          <w:i/>
          <w:color w:val="000000"/>
          <w:szCs w:val="22"/>
          <w:highlight w:val="cyan"/>
          <w:lang w:val="en-AU"/>
        </w:rPr>
        <w:t xml:space="preserve">List information regarding </w:t>
      </w:r>
      <w:r>
        <w:rPr>
          <w:rFonts w:cs="Arial" w:ascii="Arial" w:hAnsi="Arial"/>
          <w:b/>
          <w:i/>
          <w:color w:val="000000"/>
          <w:szCs w:val="22"/>
          <w:highlight w:val="cyan"/>
          <w:u w:val="single"/>
          <w:lang w:val="en-AU"/>
        </w:rPr>
        <w:t>relevant</w:t>
      </w:r>
      <w:r>
        <w:rPr>
          <w:rFonts w:cs="Arial" w:ascii="Arial" w:hAnsi="Arial"/>
          <w:b/>
          <w:i/>
          <w:color w:val="000000"/>
          <w:szCs w:val="22"/>
          <w:highlight w:val="cyan"/>
          <w:lang w:val="en-AU"/>
        </w:rPr>
        <w:t xml:space="preserve"> facilities, fixed and/or mobile plants and equipments that would be used on this project. If such facilities, fixed and/or mobile plants and equipment are not owned by the bidder, please include information on how facilities, fixed and/or mobile plants and equipment will be hired or leased.</w:t>
      </w:r>
      <w:r>
        <w:rPr>
          <w:rFonts w:cs="Arial" w:ascii="Arial" w:hAnsi="Arial"/>
          <w:color w:val="000000"/>
          <w:szCs w:val="22"/>
          <w:lang w:val="en-AU"/>
        </w:rPr>
        <w:t>]</w:t>
      </w:r>
    </w:p>
    <w:p>
      <w:pPr>
        <w:pStyle w:val="MarginText"/>
        <w:spacing w:lineRule="auto" w:line="240" w:before="0" w:after="0"/>
        <w:rPr>
          <w:rFonts w:ascii="Arial" w:hAnsi="Arial" w:cs="Arial"/>
          <w:i/>
          <w:i/>
          <w:color w:val="000000"/>
          <w:szCs w:val="22"/>
          <w:lang w:val="en-AU"/>
        </w:rPr>
      </w:pPr>
      <w:r>
        <w:rPr>
          <w:rFonts w:cs="Arial" w:ascii="Arial" w:hAnsi="Arial"/>
          <w:i/>
          <w:color w:val="000000"/>
          <w:szCs w:val="22"/>
          <w:lang w:val="en-AU"/>
        </w:rPr>
      </w:r>
      <w:r>
        <w:br w:type="page"/>
      </w:r>
    </w:p>
    <w:p>
      <w:pPr>
        <w:pStyle w:val="Normal"/>
        <w:spacing w:before="0" w:after="0"/>
        <w:jc w:val="center"/>
        <w:rPr>
          <w:b/>
          <w:b/>
          <w:smallCaps/>
          <w:color w:val="000000"/>
        </w:rPr>
      </w:pPr>
      <w:r>
        <w:rPr>
          <w:b/>
          <w:smallCaps/>
          <w:color w:val="000000"/>
        </w:rPr>
        <w:t>RETURNABLE BID SCHEDULE 8</w:t>
      </w:r>
    </w:p>
    <w:p>
      <w:pPr>
        <w:pStyle w:val="Normal"/>
        <w:keepNext w:val="true"/>
        <w:spacing w:before="0" w:after="0"/>
        <w:jc w:val="center"/>
        <w:rPr>
          <w:b/>
          <w:b/>
          <w:smallCaps/>
          <w:color w:val="000000"/>
        </w:rPr>
      </w:pPr>
      <w:r>
        <w:rPr>
          <w:b/>
          <w:smallCaps/>
          <w:color w:val="000000"/>
        </w:rPr>
      </w:r>
    </w:p>
    <w:p>
      <w:pPr>
        <w:pStyle w:val="Normal"/>
        <w:keepNext w:val="true"/>
        <w:spacing w:before="0" w:after="0"/>
        <w:jc w:val="center"/>
        <w:rPr>
          <w:b/>
          <w:b/>
          <w:smallCaps/>
          <w:color w:val="000000"/>
        </w:rPr>
      </w:pPr>
      <w:r>
        <w:rPr>
          <w:b/>
          <w:smallCaps/>
          <w:color w:val="000000"/>
        </w:rPr>
        <w:t>DECLARATION</w:t>
      </w:r>
    </w:p>
    <w:p>
      <w:pPr>
        <w:pStyle w:val="Normal"/>
        <w:spacing w:before="0" w:after="0"/>
        <w:jc w:val="both"/>
        <w:rPr>
          <w:b/>
          <w:b/>
          <w:color w:val="000000"/>
        </w:rPr>
      </w:pPr>
      <w:r>
        <w:rPr>
          <w:b/>
          <w:color w:val="000000"/>
        </w:rPr>
      </w:r>
    </w:p>
    <w:p>
      <w:pPr>
        <w:pStyle w:val="Normal"/>
        <w:spacing w:before="0" w:after="0"/>
        <w:jc w:val="both"/>
        <w:rPr>
          <w:b/>
          <w:b/>
          <w:color w:val="000000"/>
        </w:rPr>
      </w:pPr>
      <w:r>
        <w:rPr>
          <w:b/>
          <w:color w:val="000000"/>
        </w:rPr>
        <w:t>United Nations Office for Project Services</w:t>
      </w:r>
    </w:p>
    <w:p>
      <w:pPr>
        <w:pStyle w:val="Normal"/>
        <w:suppressAutoHyphens w:val="true"/>
        <w:overflowPunct w:val="true"/>
        <w:spacing w:before="0" w:after="0"/>
        <w:jc w:val="both"/>
        <w:textAlignment w:val="baseline"/>
        <w:rPr>
          <w:rFonts w:eastAsia="Times New Roman"/>
          <w:bCs/>
        </w:rPr>
      </w:pPr>
      <w:r>
        <w:rPr>
          <w:rFonts w:eastAsia="Times New Roman"/>
          <w:bCs/>
        </w:rPr>
        <w:t>United Nations Office for Project Services</w:t>
      </w:r>
    </w:p>
    <w:p>
      <w:pPr>
        <w:pStyle w:val="Normal"/>
        <w:suppressAutoHyphens w:val="true"/>
        <w:overflowPunct w:val="true"/>
        <w:spacing w:before="0" w:after="0"/>
        <w:jc w:val="both"/>
        <w:textAlignment w:val="baseline"/>
        <w:rPr>
          <w:rFonts w:eastAsia="Times New Roman"/>
          <w:bCs/>
        </w:rPr>
      </w:pPr>
      <w:r>
        <w:rPr>
          <w:rFonts w:eastAsia="Times New Roman"/>
          <w:bCs/>
        </w:rPr>
        <w:t>Lypska, 10</w:t>
      </w:r>
    </w:p>
    <w:p>
      <w:pPr>
        <w:pStyle w:val="Normal"/>
        <w:suppressAutoHyphens w:val="true"/>
        <w:overflowPunct w:val="true"/>
        <w:spacing w:before="0" w:after="0"/>
        <w:jc w:val="both"/>
        <w:textAlignment w:val="baseline"/>
        <w:rPr>
          <w:rFonts w:eastAsia="Times New Roman"/>
          <w:bCs/>
        </w:rPr>
      </w:pPr>
      <w:r>
        <w:rPr>
          <w:rFonts w:eastAsia="Times New Roman"/>
          <w:bCs/>
        </w:rPr>
        <w:t>Kyiv</w:t>
      </w:r>
    </w:p>
    <w:p>
      <w:pPr>
        <w:pStyle w:val="Normal"/>
        <w:suppressAutoHyphens w:val="true"/>
        <w:overflowPunct w:val="true"/>
        <w:spacing w:before="0" w:after="0"/>
        <w:jc w:val="both"/>
        <w:textAlignment w:val="baseline"/>
        <w:rPr>
          <w:rFonts w:eastAsia="Times New Roman"/>
          <w:lang w:val="en-GB"/>
        </w:rPr>
      </w:pPr>
      <w:bookmarkStart w:id="51" w:name="_Hlk509837637"/>
      <w:r>
        <w:rPr>
          <w:rFonts w:eastAsia="Times New Roman"/>
          <w:bCs/>
        </w:rPr>
        <w:t>Ukraine</w:t>
      </w:r>
      <w:bookmarkEnd w:id="51"/>
      <w:r>
        <w:rPr>
          <w:rFonts w:eastAsia="Times New Roman"/>
          <w:bCs/>
        </w:rPr>
        <w:t xml:space="preserve"> </w:t>
      </w:r>
    </w:p>
    <w:p>
      <w:pPr>
        <w:pStyle w:val="Normal"/>
        <w:keepNext w:val="true"/>
        <w:spacing w:before="0" w:after="0"/>
        <w:jc w:val="both"/>
        <w:rPr>
          <w:color w:val="000000"/>
        </w:rPr>
      </w:pPr>
      <w:r>
        <w:rPr>
          <w:color w:val="000000"/>
        </w:rPr>
      </w:r>
    </w:p>
    <w:p>
      <w:pPr>
        <w:pStyle w:val="Normal"/>
        <w:keepNext w:val="true"/>
        <w:spacing w:before="0" w:after="0"/>
        <w:jc w:val="both"/>
        <w:rPr>
          <w:color w:val="000000"/>
        </w:rPr>
      </w:pPr>
      <w:r>
        <w:rPr>
          <w:color w:val="000000"/>
        </w:rPr>
        <w:t>Dear Sir/Madam,</w:t>
      </w:r>
    </w:p>
    <w:p>
      <w:pPr>
        <w:pStyle w:val="Normal"/>
        <w:keepNext w:val="true"/>
        <w:spacing w:before="0" w:after="0"/>
        <w:jc w:val="both"/>
        <w:rPr>
          <w:color w:val="000000"/>
        </w:rPr>
      </w:pPr>
      <w:r>
        <w:rPr>
          <w:color w:val="000000"/>
        </w:rPr>
      </w:r>
    </w:p>
    <w:p>
      <w:pPr>
        <w:pStyle w:val="Normal"/>
        <w:keepNext w:val="true"/>
        <w:spacing w:before="0" w:after="0"/>
        <w:jc w:val="both"/>
        <w:rPr>
          <w:color w:val="000000"/>
        </w:rPr>
      </w:pPr>
      <w:r>
        <w:rPr>
          <w:b/>
          <w:color w:val="000000"/>
        </w:rPr>
        <w:t>Subject: Invitation to Bid for the Construction of</w:t>
      </w:r>
      <w:r>
        <w:rPr>
          <w:b/>
          <w:color w:val="000000"/>
          <w:lang w:val="uk-UA"/>
        </w:rPr>
        <w:t xml:space="preserve"> </w:t>
      </w:r>
      <w:r>
        <w:rPr>
          <w:b/>
          <w:i/>
          <w:color w:val="000000"/>
        </w:rPr>
        <w:t xml:space="preserve">Installing additional </w:t>
      </w:r>
      <w:r>
        <w:rPr>
          <w:b/>
          <w:i/>
          <w:color w:val="000000"/>
          <w:lang w:val="ru-UA"/>
        </w:rPr>
        <w:t xml:space="preserve">16 </w:t>
      </w:r>
      <w:r>
        <w:rPr>
          <w:b/>
          <w:i/>
          <w:color w:val="000000"/>
        </w:rPr>
        <w:t>modules to existing check-points and community policing posts of the MDNP in Donetsk Region to enhance provision of police services to the population in the post-conflict or adjacent to conflict territories of Donetsk region</w:t>
      </w:r>
      <w:r>
        <w:rPr>
          <w:i/>
          <w:color w:val="000000"/>
        </w:rPr>
        <w:t xml:space="preserve"> </w:t>
      </w:r>
      <w:r>
        <w:rPr>
          <w:b/>
          <w:i/>
          <w:iCs/>
          <w:color w:val="000000"/>
        </w:rPr>
        <w:t>in</w:t>
      </w:r>
      <w:r>
        <w:rPr>
          <w:b/>
          <w:i/>
          <w:color w:val="000000"/>
        </w:rPr>
        <w:t xml:space="preserve"> </w:t>
      </w:r>
      <w:r>
        <w:rPr>
          <w:b/>
          <w:i/>
          <w:color w:val="000000"/>
          <w:lang w:val="en-US"/>
        </w:rPr>
        <w:t>Ukraine</w:t>
      </w:r>
      <w:r>
        <w:rPr>
          <w:color w:val="000000"/>
        </w:rPr>
        <w:t xml:space="preserve">. </w:t>
      </w:r>
      <w:r>
        <w:rPr>
          <w:b/>
          <w:bCs/>
          <w:color w:val="000000"/>
        </w:rPr>
        <w:t>Case No.</w:t>
      </w:r>
      <w:r>
        <w:rPr>
          <w:color w:val="000000"/>
        </w:rPr>
        <w:t xml:space="preserve"> </w:t>
      </w:r>
      <w:r>
        <w:rPr>
          <w:b/>
          <w:bCs/>
          <w:color w:val="000000"/>
          <w:lang w:val="en-US"/>
        </w:rPr>
        <w:t>ITB/2020/16308</w:t>
      </w:r>
      <w:r>
        <w:rPr>
          <w:color w:val="000000"/>
        </w:rPr>
        <w:t>.</w:t>
      </w:r>
    </w:p>
    <w:p>
      <w:pPr>
        <w:pStyle w:val="Normal"/>
        <w:keepNext w:val="true"/>
        <w:spacing w:before="0" w:after="0"/>
        <w:jc w:val="both"/>
        <w:rPr>
          <w:color w:val="000000"/>
        </w:rPr>
      </w:pPr>
      <w:r>
        <w:rPr>
          <w:color w:val="000000"/>
        </w:rPr>
      </w:r>
    </w:p>
    <w:p>
      <w:pPr>
        <w:pStyle w:val="Normal"/>
        <w:keepNext w:val="true"/>
        <w:spacing w:before="0" w:after="0"/>
        <w:jc w:val="both"/>
        <w:rPr>
          <w:color w:val="000000"/>
        </w:rPr>
      </w:pPr>
      <w:r>
        <w:rPr>
          <w:color w:val="000000"/>
        </w:rPr>
        <w:t>I, [</w:t>
      </w:r>
      <w:r>
        <w:rPr>
          <w:b/>
          <w:i/>
          <w:color w:val="000000"/>
          <w:highlight w:val="cyan"/>
        </w:rPr>
        <w:t>insert name and title</w:t>
      </w:r>
      <w:r>
        <w:rPr>
          <w:color w:val="000000"/>
        </w:rPr>
        <w:t>], [</w:t>
      </w:r>
      <w:r>
        <w:rPr>
          <w:b/>
          <w:i/>
          <w:color w:val="000000"/>
          <w:highlight w:val="cyan"/>
        </w:rPr>
        <w:t>insert title</w:t>
      </w:r>
      <w:r>
        <w:rPr>
          <w:color w:val="000000"/>
        </w:rPr>
        <w:t>], do solemnly and sincerely declare that:</w:t>
      </w:r>
    </w:p>
    <w:p>
      <w:pPr>
        <w:pStyle w:val="Normal"/>
        <w:keepNext w:val="true"/>
        <w:spacing w:before="0" w:after="0"/>
        <w:jc w:val="both"/>
        <w:rPr>
          <w:color w:val="000000"/>
        </w:rPr>
      </w:pPr>
      <w:r>
        <w:rPr>
          <w:color w:val="000000"/>
        </w:rPr>
      </w:r>
    </w:p>
    <w:p>
      <w:pPr>
        <w:pStyle w:val="Normal"/>
        <w:keepNext w:val="true"/>
        <w:numPr>
          <w:ilvl w:val="0"/>
          <w:numId w:val="21"/>
        </w:numPr>
        <w:spacing w:before="0" w:after="0"/>
        <w:ind w:left="720" w:hanging="720"/>
        <w:jc w:val="both"/>
        <w:rPr>
          <w:color w:val="000000"/>
        </w:rPr>
      </w:pPr>
      <w:r>
        <w:rPr>
          <w:color w:val="000000"/>
        </w:rPr>
        <w:t>I am duly authorised by [</w:t>
      </w:r>
      <w:r>
        <w:rPr>
          <w:b/>
          <w:i/>
          <w:color w:val="000000"/>
          <w:highlight w:val="cyan"/>
        </w:rPr>
        <w:t>Insert name of bidder</w:t>
      </w:r>
      <w:r>
        <w:rPr>
          <w:color w:val="000000"/>
        </w:rPr>
        <w:t>] (the Bidder)</w:t>
      </w:r>
      <w:r>
        <w:rPr>
          <w:i/>
          <w:color w:val="000000"/>
        </w:rPr>
        <w:t xml:space="preserve"> </w:t>
      </w:r>
      <w:r>
        <w:rPr>
          <w:color w:val="000000"/>
        </w:rPr>
        <w:t>to make this declaration on its behalf.</w:t>
      </w:r>
    </w:p>
    <w:p>
      <w:pPr>
        <w:pStyle w:val="Normal"/>
        <w:keepNext w:val="true"/>
        <w:spacing w:before="0" w:after="0"/>
        <w:ind w:left="720" w:hanging="0"/>
        <w:jc w:val="both"/>
        <w:rPr>
          <w:b/>
          <w:b/>
          <w:color w:val="000000"/>
        </w:rPr>
      </w:pPr>
      <w:r>
        <w:rPr>
          <w:b/>
          <w:color w:val="000000"/>
        </w:rPr>
      </w:r>
    </w:p>
    <w:p>
      <w:pPr>
        <w:pStyle w:val="Normal"/>
        <w:keepNext w:val="true"/>
        <w:numPr>
          <w:ilvl w:val="0"/>
          <w:numId w:val="21"/>
        </w:numPr>
        <w:spacing w:before="0" w:after="0"/>
        <w:ind w:left="720" w:hanging="720"/>
        <w:jc w:val="both"/>
        <w:rPr>
          <w:color w:val="000000"/>
        </w:rPr>
      </w:pPr>
      <w:r>
        <w:rPr>
          <w:color w:val="000000"/>
        </w:rPr>
        <w:t>I make this declaration on behalf of the Bidder.</w:t>
      </w:r>
    </w:p>
    <w:p>
      <w:pPr>
        <w:pStyle w:val="Normal"/>
        <w:keepNext w:val="true"/>
        <w:spacing w:before="0" w:after="0"/>
        <w:ind w:left="720" w:hanging="0"/>
        <w:jc w:val="both"/>
        <w:rPr>
          <w:b/>
          <w:b/>
          <w:color w:val="000000"/>
        </w:rPr>
      </w:pPr>
      <w:r>
        <w:rPr>
          <w:b/>
          <w:color w:val="000000"/>
        </w:rPr>
      </w:r>
    </w:p>
    <w:p>
      <w:pPr>
        <w:pStyle w:val="Normal"/>
        <w:keepNext w:val="true"/>
        <w:numPr>
          <w:ilvl w:val="0"/>
          <w:numId w:val="21"/>
        </w:numPr>
        <w:spacing w:before="0" w:after="0"/>
        <w:ind w:left="720" w:hanging="720"/>
        <w:jc w:val="both"/>
        <w:rPr>
          <w:color w:val="000000"/>
        </w:rPr>
      </w:pPr>
      <w:r>
        <w:rPr>
          <w:color w:val="000000"/>
        </w:rPr>
        <w:t xml:space="preserve">Before the Bidder submitted its bid, neither the Bidder, nor any of its employees or agents, had knowledge of the bid price proposed by any other bidder who submitted, or of any person, company, other body corporate or firm that proposed to submit, a bid in response to this ITB. </w:t>
      </w:r>
    </w:p>
    <w:p>
      <w:pPr>
        <w:pStyle w:val="Normal"/>
        <w:keepNext w:val="true"/>
        <w:spacing w:before="0" w:after="0"/>
        <w:ind w:left="720" w:hanging="0"/>
        <w:jc w:val="both"/>
        <w:rPr>
          <w:b/>
          <w:b/>
          <w:color w:val="000000"/>
        </w:rPr>
      </w:pPr>
      <w:r>
        <w:rPr>
          <w:b/>
          <w:color w:val="000000"/>
        </w:rPr>
      </w:r>
    </w:p>
    <w:p>
      <w:pPr>
        <w:pStyle w:val="Normal"/>
        <w:keepNext w:val="true"/>
        <w:numPr>
          <w:ilvl w:val="0"/>
          <w:numId w:val="21"/>
        </w:numPr>
        <w:spacing w:before="0" w:after="0"/>
        <w:ind w:left="720" w:hanging="720"/>
        <w:jc w:val="both"/>
        <w:rPr>
          <w:color w:val="000000"/>
        </w:rPr>
      </w:pPr>
      <w:r>
        <w:rPr>
          <w:color w:val="000000"/>
        </w:rPr>
        <w:t>Before the Deadline for Bid Submission of this bid process, neither the Bidder, nor any of its employees or agents, disclosed the Bidder’s bid  price to:</w:t>
      </w:r>
    </w:p>
    <w:p>
      <w:pPr>
        <w:pStyle w:val="Normal"/>
        <w:keepNext w:val="true"/>
        <w:spacing w:before="0" w:after="0"/>
        <w:jc w:val="both"/>
        <w:rPr>
          <w:b/>
          <w:b/>
          <w:color w:val="000000"/>
        </w:rPr>
      </w:pPr>
      <w:r>
        <w:rPr>
          <w:b/>
          <w:color w:val="000000"/>
        </w:rPr>
      </w:r>
    </w:p>
    <w:p>
      <w:pPr>
        <w:pStyle w:val="Normal"/>
        <w:numPr>
          <w:ilvl w:val="1"/>
          <w:numId w:val="12"/>
        </w:numPr>
        <w:spacing w:before="0" w:after="0"/>
        <w:jc w:val="both"/>
        <w:rPr>
          <w:color w:val="000000"/>
        </w:rPr>
      </w:pPr>
      <w:r>
        <w:rPr>
          <w:color w:val="000000"/>
        </w:rPr>
        <w:t>any other bidder who submitted a bid in response to this ITB;</w:t>
      </w:r>
    </w:p>
    <w:p>
      <w:pPr>
        <w:pStyle w:val="Normal"/>
        <w:numPr>
          <w:ilvl w:val="1"/>
          <w:numId w:val="12"/>
        </w:numPr>
        <w:spacing w:before="0" w:after="0"/>
        <w:jc w:val="both"/>
        <w:rPr>
          <w:color w:val="000000"/>
        </w:rPr>
      </w:pPr>
      <w:r>
        <w:rPr>
          <w:color w:val="000000"/>
        </w:rPr>
        <w:t>any person, company, other body corporate or firm proposing to submit a bid in response to this ITB.</w:t>
      </w:r>
    </w:p>
    <w:p>
      <w:pPr>
        <w:pStyle w:val="Normal"/>
        <w:keepNext w:val="true"/>
        <w:spacing w:before="0" w:after="0"/>
        <w:ind w:left="720" w:hanging="360"/>
        <w:jc w:val="both"/>
        <w:rPr>
          <w:color w:val="000000"/>
        </w:rPr>
      </w:pPr>
      <w:r>
        <w:rPr>
          <w:color w:val="000000"/>
        </w:rPr>
      </w:r>
    </w:p>
    <w:p>
      <w:pPr>
        <w:pStyle w:val="Normal"/>
        <w:keepNext w:val="true"/>
        <w:numPr>
          <w:ilvl w:val="0"/>
          <w:numId w:val="21"/>
        </w:numPr>
        <w:spacing w:before="0" w:after="0"/>
        <w:ind w:left="720" w:hanging="720"/>
        <w:jc w:val="both"/>
        <w:rPr>
          <w:color w:val="000000"/>
        </w:rPr>
      </w:pPr>
      <w:r>
        <w:rPr>
          <w:color w:val="000000"/>
        </w:rPr>
        <w:t>Neither the Bidder, nor any of its employees or agents, has provided information to:</w:t>
      </w:r>
    </w:p>
    <w:p>
      <w:pPr>
        <w:pStyle w:val="Normal"/>
        <w:keepNext w:val="true"/>
        <w:spacing w:before="0" w:after="0"/>
        <w:ind w:hanging="360"/>
        <w:jc w:val="both"/>
        <w:rPr>
          <w:color w:val="000000"/>
        </w:rPr>
      </w:pPr>
      <w:r>
        <w:rPr>
          <w:color w:val="000000"/>
        </w:rPr>
      </w:r>
    </w:p>
    <w:p>
      <w:pPr>
        <w:pStyle w:val="Heading6"/>
        <w:numPr>
          <w:ilvl w:val="0"/>
          <w:numId w:val="23"/>
        </w:numPr>
        <w:spacing w:before="0" w:after="0"/>
        <w:rPr>
          <w:rFonts w:ascii="Arial" w:hAnsi="Arial" w:eastAsia="Arial" w:cs="Arial"/>
          <w:b w:val="false"/>
          <w:b w:val="false"/>
          <w:color w:val="000000"/>
        </w:rPr>
      </w:pPr>
      <w:r>
        <w:rPr>
          <w:rFonts w:eastAsia="Arial" w:cs="Arial" w:ascii="Arial" w:hAnsi="Arial"/>
          <w:b w:val="false"/>
          <w:color w:val="000000"/>
        </w:rPr>
        <w:t>any other bidder who has submitted a bid in response to this ITB;</w:t>
      </w:r>
    </w:p>
    <w:p>
      <w:pPr>
        <w:pStyle w:val="Heading6"/>
        <w:numPr>
          <w:ilvl w:val="0"/>
          <w:numId w:val="23"/>
        </w:numPr>
        <w:spacing w:before="0" w:after="0"/>
        <w:rPr>
          <w:rFonts w:ascii="Arial" w:hAnsi="Arial" w:eastAsia="Arial" w:cs="Arial"/>
          <w:b w:val="false"/>
          <w:b w:val="false"/>
          <w:color w:val="000000"/>
        </w:rPr>
      </w:pPr>
      <w:r>
        <w:rPr>
          <w:rFonts w:eastAsia="Arial" w:cs="Arial" w:ascii="Arial" w:hAnsi="Arial"/>
          <w:b w:val="false"/>
          <w:color w:val="000000"/>
        </w:rPr>
        <w:t>any person, company, other body corporate or firm proposing to submit a bid in response to this ITB; or</w:t>
      </w:r>
    </w:p>
    <w:p>
      <w:pPr>
        <w:pStyle w:val="Heading6"/>
        <w:numPr>
          <w:ilvl w:val="0"/>
          <w:numId w:val="23"/>
        </w:numPr>
        <w:spacing w:before="0" w:after="0"/>
        <w:rPr>
          <w:rFonts w:ascii="Arial" w:hAnsi="Arial" w:eastAsia="Arial" w:cs="Arial"/>
          <w:b w:val="false"/>
          <w:b w:val="false"/>
          <w:color w:val="000000"/>
        </w:rPr>
      </w:pPr>
      <w:r>
        <w:rPr>
          <w:rFonts w:eastAsia="Arial" w:cs="Arial" w:ascii="Arial" w:hAnsi="Arial"/>
          <w:b w:val="false"/>
          <w:color w:val="000000"/>
        </w:rPr>
        <w:t>any other person, company, body corporate or firm for the purpose of assisting in the preparation of a bid in response to this ITB.</w:t>
      </w:r>
    </w:p>
    <w:p>
      <w:pPr>
        <w:pStyle w:val="Normal"/>
        <w:numPr>
          <w:ilvl w:val="0"/>
          <w:numId w:val="21"/>
        </w:numPr>
        <w:spacing w:before="0" w:after="0"/>
        <w:ind w:left="720" w:hanging="720"/>
        <w:jc w:val="both"/>
        <w:rPr>
          <w:color w:val="000000"/>
        </w:rPr>
      </w:pPr>
      <w:r>
        <w:rPr>
          <w:color w:val="000000"/>
        </w:rPr>
        <w:t>The Bidder is genuinely competing for the Contract.</w:t>
      </w:r>
    </w:p>
    <w:p>
      <w:pPr>
        <w:pStyle w:val="Normal"/>
        <w:spacing w:before="0" w:after="0"/>
        <w:ind w:left="720" w:hanging="360"/>
        <w:jc w:val="both"/>
        <w:rPr>
          <w:color w:val="000000"/>
        </w:rPr>
      </w:pPr>
      <w:r>
        <w:rPr>
          <w:color w:val="000000"/>
        </w:rPr>
      </w:r>
    </w:p>
    <w:p>
      <w:pPr>
        <w:pStyle w:val="Normal"/>
        <w:numPr>
          <w:ilvl w:val="0"/>
          <w:numId w:val="21"/>
        </w:numPr>
        <w:spacing w:before="0" w:after="0"/>
        <w:ind w:left="720" w:hanging="720"/>
        <w:jc w:val="both"/>
        <w:rPr>
          <w:color w:val="000000"/>
        </w:rPr>
      </w:pPr>
      <w:r>
        <w:rPr>
          <w:color w:val="000000"/>
        </w:rPr>
        <w:t>Neither the Bidder, nor any of its employees or agents, has entered into any contract, agreement, arrangement or understanding, other than as disclosed to UNOPS in the bid, that the successful bidder for the Contract shall pay any money to, or provide any other benefit or other financial advantage to, an industry association in respect of the Contract.</w:t>
      </w:r>
    </w:p>
    <w:p>
      <w:pPr>
        <w:pStyle w:val="Normal"/>
        <w:spacing w:before="0" w:after="0"/>
        <w:ind w:left="720" w:hanging="360"/>
        <w:jc w:val="both"/>
        <w:rPr>
          <w:color w:val="000000"/>
        </w:rPr>
      </w:pPr>
      <w:r>
        <w:rPr>
          <w:color w:val="000000"/>
        </w:rPr>
      </w:r>
    </w:p>
    <w:p>
      <w:pPr>
        <w:pStyle w:val="Normal"/>
        <w:numPr>
          <w:ilvl w:val="0"/>
          <w:numId w:val="21"/>
        </w:numPr>
        <w:spacing w:before="0" w:after="0"/>
        <w:ind w:left="720" w:hanging="720"/>
        <w:jc w:val="both"/>
        <w:rPr>
          <w:color w:val="000000"/>
        </w:rPr>
      </w:pPr>
      <w:r>
        <w:rPr>
          <w:color w:val="000000"/>
        </w:rPr>
        <w:t>Neither the Bidder, nor any of its employees or agents, has entered into any contract, agreement, arrangement or understanding that the successful bidder for the Contract shall pay any money to, or provide any other benefit or other financial advantage to, any other bidder who unsuccessfully tendered for the Contract.</w:t>
      </w:r>
    </w:p>
    <w:p>
      <w:pPr>
        <w:pStyle w:val="Normal"/>
        <w:numPr>
          <w:ilvl w:val="0"/>
          <w:numId w:val="21"/>
        </w:numPr>
        <w:spacing w:before="0" w:after="0"/>
        <w:ind w:left="720" w:hanging="720"/>
        <w:jc w:val="both"/>
        <w:rPr>
          <w:color w:val="000000"/>
        </w:rPr>
      </w:pPr>
      <w:r>
        <w:rPr>
          <w:color w:val="000000"/>
        </w:rPr>
        <w:t>Neither the Bidder, nor any of its employees or agents, has entered into any contract, agreement, arrangement or understanding that bidders for the Contract would include an identical or similar condition or qualification in their bids.</w:t>
      </w:r>
    </w:p>
    <w:p>
      <w:pPr>
        <w:pStyle w:val="Normal"/>
        <w:keepNext w:val="true"/>
        <w:keepLines/>
        <w:spacing w:before="0" w:after="0"/>
        <w:jc w:val="both"/>
        <w:rPr>
          <w:color w:val="000000"/>
        </w:rPr>
      </w:pPr>
      <w:r>
        <w:rPr>
          <w:color w:val="000000"/>
        </w:rPr>
      </w:r>
    </w:p>
    <w:p>
      <w:pPr>
        <w:pStyle w:val="Normal"/>
        <w:keepNext w:val="true"/>
        <w:keepLines/>
        <w:spacing w:before="0" w:after="0"/>
        <w:jc w:val="both"/>
        <w:rPr>
          <w:color w:val="000000"/>
        </w:rPr>
      </w:pPr>
      <w:r>
        <w:rPr>
          <w:color w:val="000000"/>
        </w:rPr>
        <w:t>I acknowledge that this declaration is true and correct, and I make it in the belief that a person making a false declaration is liable to penalties.</w:t>
      </w:r>
    </w:p>
    <w:p>
      <w:pPr>
        <w:pStyle w:val="Normal"/>
        <w:keepNext w:val="true"/>
        <w:keepLines/>
        <w:spacing w:before="0" w:after="0"/>
        <w:jc w:val="both"/>
        <w:rPr>
          <w:color w:val="000000"/>
        </w:rPr>
      </w:pPr>
      <w:r>
        <w:rPr>
          <w:color w:val="000000"/>
        </w:rPr>
      </w:r>
    </w:p>
    <w:tbl>
      <w:tblPr>
        <w:tblStyle w:val="af2"/>
        <w:tblW w:w="92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9242"/>
      </w:tblGrid>
      <w:tr>
        <w:trPr>
          <w:trHeight w:val="4180" w:hRule="atLeast"/>
        </w:trPr>
        <w:tc>
          <w:tcPr>
            <w:tcW w:w="9242" w:type="dxa"/>
            <w:tcBorders/>
          </w:tcPr>
          <w:p>
            <w:pPr>
              <w:pStyle w:val="Normal"/>
              <w:widowControl w:val="false"/>
              <w:spacing w:before="0" w:after="0"/>
              <w:jc w:val="both"/>
              <w:rPr>
                <w:color w:val="000000"/>
              </w:rPr>
            </w:pPr>
            <w:r>
              <w:rPr>
                <w:color w:val="000000"/>
              </w:rPr>
              <w:t>DECLARED at [</w:t>
            </w:r>
            <w:r>
              <w:rPr>
                <w:b/>
                <w:i/>
                <w:color w:val="000000"/>
                <w:highlight w:val="cyan"/>
              </w:rPr>
              <w:t>insert place</w:t>
            </w:r>
            <w:r>
              <w:rPr>
                <w:color w:val="000000"/>
              </w:rPr>
              <w:t>] on [</w:t>
            </w:r>
            <w:r>
              <w:rPr>
                <w:b/>
                <w:i/>
                <w:color w:val="000000"/>
                <w:highlight w:val="cyan"/>
              </w:rPr>
              <w:t>insert date</w:t>
            </w:r>
            <w:r>
              <w:rPr>
                <w:color w:val="000000"/>
              </w:rPr>
              <w:t>] before me:</w:t>
            </w:r>
          </w:p>
          <w:p>
            <w:pPr>
              <w:pStyle w:val="Normal"/>
              <w:widowControl w:val="false"/>
              <w:spacing w:before="0" w:after="0"/>
              <w:jc w:val="both"/>
              <w:rPr>
                <w:color w:val="000000"/>
              </w:rPr>
            </w:pPr>
            <w:r>
              <w:rPr>
                <w:color w:val="000000"/>
              </w:rPr>
              <w:t>_______________________________________________________________________</w:t>
            </w:r>
          </w:p>
          <w:p>
            <w:pPr>
              <w:pStyle w:val="Normal"/>
              <w:widowControl w:val="false"/>
              <w:spacing w:before="0" w:after="0"/>
              <w:jc w:val="both"/>
              <w:rPr>
                <w:color w:val="000000"/>
              </w:rPr>
            </w:pPr>
            <w:r>
              <w:rPr>
                <w:color w:val="000000"/>
              </w:rPr>
              <w:t>Signature of authorised witness</w:t>
            </w:r>
          </w:p>
          <w:p>
            <w:pPr>
              <w:pStyle w:val="Normal"/>
              <w:widowControl w:val="false"/>
              <w:spacing w:before="0" w:after="0"/>
              <w:jc w:val="both"/>
              <w:rPr>
                <w:color w:val="000000"/>
              </w:rPr>
            </w:pPr>
            <w:r>
              <w:rPr>
                <w:color w:val="000000"/>
              </w:rPr>
            </w:r>
          </w:p>
          <w:p>
            <w:pPr>
              <w:pStyle w:val="Normal"/>
              <w:widowControl w:val="false"/>
              <w:spacing w:before="0" w:after="0"/>
              <w:jc w:val="both"/>
              <w:rPr>
                <w:color w:val="000000"/>
              </w:rPr>
            </w:pPr>
            <w:r>
              <w:rPr>
                <w:color w:val="000000"/>
              </w:rPr>
              <w:t>_______________________________________________________________________</w:t>
            </w:r>
          </w:p>
          <w:p>
            <w:pPr>
              <w:pStyle w:val="Normal"/>
              <w:widowControl w:val="false"/>
              <w:spacing w:before="0" w:after="0"/>
              <w:jc w:val="both"/>
              <w:rPr>
                <w:color w:val="000000"/>
              </w:rPr>
            </w:pPr>
            <w:r>
              <w:rPr>
                <w:color w:val="000000"/>
              </w:rPr>
              <w:t>Name of authorised witness</w:t>
            </w:r>
          </w:p>
          <w:p>
            <w:pPr>
              <w:pStyle w:val="Normal"/>
              <w:widowControl w:val="false"/>
              <w:pBdr>
                <w:bottom w:val="single" w:sz="12" w:space="1" w:color="000000"/>
              </w:pBdr>
              <w:tabs>
                <w:tab w:val="clear" w:pos="720"/>
                <w:tab w:val="right" w:pos="8892" w:leader="none"/>
              </w:tabs>
              <w:spacing w:before="0" w:after="0"/>
              <w:jc w:val="both"/>
              <w:rPr>
                <w:color w:val="000000"/>
              </w:rPr>
            </w:pPr>
            <w:r>
              <w:rPr>
                <w:color w:val="000000"/>
              </w:rPr>
              <w:t>(capital letters)</w:t>
            </w:r>
          </w:p>
          <w:p>
            <w:pPr>
              <w:pStyle w:val="Normal"/>
              <w:widowControl w:val="false"/>
              <w:pBdr>
                <w:bottom w:val="single" w:sz="12" w:space="1" w:color="000000"/>
              </w:pBdr>
              <w:tabs>
                <w:tab w:val="clear" w:pos="720"/>
                <w:tab w:val="right" w:pos="8892" w:leader="none"/>
              </w:tabs>
              <w:spacing w:before="0" w:after="0"/>
              <w:jc w:val="both"/>
              <w:rPr>
                <w:color w:val="000000"/>
              </w:rPr>
            </w:pPr>
            <w:r>
              <w:rPr>
                <w:color w:val="000000"/>
              </w:rPr>
            </w:r>
          </w:p>
          <w:p>
            <w:pPr>
              <w:pStyle w:val="Normal"/>
              <w:widowControl w:val="false"/>
              <w:pBdr>
                <w:bottom w:val="single" w:sz="12" w:space="1" w:color="000000"/>
              </w:pBdr>
              <w:tabs>
                <w:tab w:val="clear" w:pos="720"/>
                <w:tab w:val="right" w:pos="8892" w:leader="none"/>
              </w:tabs>
              <w:spacing w:before="0" w:after="0"/>
              <w:jc w:val="both"/>
              <w:rPr>
                <w:color w:val="000000"/>
              </w:rPr>
            </w:pPr>
            <w:r>
              <w:rPr>
                <w:color w:val="000000"/>
              </w:rPr>
            </w:r>
          </w:p>
          <w:p>
            <w:pPr>
              <w:pStyle w:val="Normal"/>
              <w:widowControl w:val="false"/>
              <w:spacing w:before="0" w:after="0"/>
              <w:jc w:val="both"/>
              <w:rPr>
                <w:color w:val="000000"/>
              </w:rPr>
            </w:pPr>
            <w:r>
              <w:rPr>
                <w:color w:val="000000"/>
              </w:rPr>
              <w:t>_________________________________________________________________________Address of authorised witness</w:t>
            </w:r>
          </w:p>
          <w:p>
            <w:pPr>
              <w:pStyle w:val="Normal"/>
              <w:widowControl w:val="false"/>
              <w:spacing w:before="0" w:after="0"/>
              <w:jc w:val="both"/>
              <w:rPr>
                <w:color w:val="000000"/>
              </w:rPr>
            </w:pPr>
            <w:r>
              <w:rPr>
                <w:color w:val="000000"/>
              </w:rPr>
            </w:r>
          </w:p>
          <w:p>
            <w:pPr>
              <w:pStyle w:val="Normal"/>
              <w:widowControl w:val="false"/>
              <w:spacing w:before="0" w:after="0"/>
              <w:jc w:val="both"/>
              <w:rPr>
                <w:color w:val="000000"/>
              </w:rPr>
            </w:pPr>
            <w:r>
              <w:rPr>
                <w:color w:val="000000"/>
              </w:rPr>
              <w:t>________________________________________________________________________</w:t>
            </w:r>
          </w:p>
          <w:p>
            <w:pPr>
              <w:pStyle w:val="Normal"/>
              <w:widowControl w:val="false"/>
              <w:spacing w:before="0" w:after="0"/>
              <w:jc w:val="both"/>
              <w:rPr>
                <w:color w:val="000000"/>
              </w:rPr>
            </w:pPr>
            <w:r>
              <w:rPr>
                <w:color w:val="000000"/>
              </w:rPr>
              <w:t>Witness’ Occupation</w:t>
            </w:r>
          </w:p>
          <w:p>
            <w:pPr>
              <w:pStyle w:val="Normal"/>
              <w:widowControl w:val="false"/>
              <w:spacing w:before="0" w:after="0"/>
              <w:jc w:val="both"/>
              <w:rPr>
                <w:color w:val="000000"/>
              </w:rPr>
            </w:pPr>
            <w:r>
              <w:rPr>
                <w:color w:val="000000"/>
              </w:rPr>
            </w:r>
          </w:p>
          <w:p>
            <w:pPr>
              <w:pStyle w:val="Normal"/>
              <w:widowControl w:val="false"/>
              <w:spacing w:before="0" w:after="0"/>
              <w:jc w:val="both"/>
              <w:rPr>
                <w:color w:val="000000"/>
              </w:rPr>
            </w:pPr>
            <w:r>
              <w:rPr>
                <w:color w:val="000000"/>
              </w:rPr>
              <w:t>_________________________________________________________________________</w:t>
            </w:r>
          </w:p>
          <w:p>
            <w:pPr>
              <w:pStyle w:val="Normal"/>
              <w:widowControl w:val="false"/>
              <w:spacing w:before="0" w:after="0"/>
              <w:jc w:val="both"/>
              <w:rPr>
                <w:color w:val="000000"/>
              </w:rPr>
            </w:pPr>
            <w:r>
              <w:rPr>
                <w:color w:val="000000"/>
              </w:rPr>
              <w:t>Signature of declarant</w:t>
            </w:r>
          </w:p>
        </w:tc>
      </w:tr>
    </w:tbl>
    <w:p>
      <w:pPr>
        <w:pStyle w:val="Normal"/>
        <w:spacing w:before="0" w:after="0"/>
        <w:jc w:val="both"/>
        <w:rPr>
          <w:color w:val="000000"/>
        </w:rPr>
      </w:pPr>
      <w:r>
        <w:rPr>
          <w:color w:val="000000"/>
        </w:rPr>
      </w:r>
      <w:r>
        <w:br w:type="page"/>
      </w:r>
    </w:p>
    <w:p>
      <w:pPr>
        <w:pStyle w:val="Normal"/>
        <w:keepNext w:val="true"/>
        <w:spacing w:before="0" w:after="0"/>
        <w:jc w:val="center"/>
        <w:rPr>
          <w:b/>
          <w:b/>
          <w:smallCaps/>
          <w:color w:val="000000"/>
        </w:rPr>
      </w:pPr>
      <w:r>
        <w:rPr>
          <w:b/>
          <w:smallCaps/>
          <w:color w:val="000000"/>
        </w:rPr>
        <w:t>RETURNABLE BID SCHEDULE 9</w:t>
      </w:r>
    </w:p>
    <w:p>
      <w:pPr>
        <w:pStyle w:val="Normal"/>
        <w:keepNext w:val="true"/>
        <w:spacing w:before="0" w:after="0"/>
        <w:jc w:val="center"/>
        <w:rPr>
          <w:b/>
          <w:b/>
          <w:smallCaps/>
          <w:color w:val="000000"/>
        </w:rPr>
      </w:pPr>
      <w:r>
        <w:rPr>
          <w:b/>
          <w:smallCaps/>
          <w:color w:val="000000"/>
        </w:rPr>
      </w:r>
    </w:p>
    <w:p>
      <w:pPr>
        <w:pStyle w:val="Normal"/>
        <w:keepNext w:val="true"/>
        <w:spacing w:before="0" w:after="0"/>
        <w:jc w:val="center"/>
        <w:rPr>
          <w:b/>
          <w:b/>
          <w:smallCaps/>
          <w:color w:val="000000"/>
        </w:rPr>
      </w:pPr>
      <w:r>
        <w:rPr>
          <w:b/>
          <w:smallCaps/>
          <w:color w:val="000000"/>
        </w:rPr>
        <w:t>CONFLICTS OF INTEREST</w:t>
      </w:r>
    </w:p>
    <w:p>
      <w:pPr>
        <w:pStyle w:val="Normal"/>
        <w:spacing w:before="0" w:after="0"/>
        <w:jc w:val="both"/>
        <w:rPr>
          <w:color w:val="000000"/>
        </w:rPr>
      </w:pPr>
      <w:r>
        <w:rPr>
          <w:color w:val="000000"/>
        </w:rPr>
      </w:r>
    </w:p>
    <w:p>
      <w:pPr>
        <w:pStyle w:val="Normal"/>
        <w:spacing w:before="0" w:after="0"/>
        <w:rPr>
          <w:color w:val="000000"/>
        </w:rPr>
      </w:pPr>
      <w:r>
        <w:rPr>
          <w:color w:val="000000"/>
        </w:rPr>
        <w:t>ITB Case No.:______________________________________________________________</w:t>
      </w:r>
    </w:p>
    <w:p>
      <w:pPr>
        <w:pStyle w:val="Normal"/>
        <w:spacing w:before="0" w:after="0"/>
        <w:rPr>
          <w:color w:val="000000"/>
        </w:rPr>
      </w:pPr>
      <w:r>
        <w:rPr>
          <w:color w:val="000000"/>
        </w:rPr>
      </w:r>
    </w:p>
    <w:p>
      <w:pPr>
        <w:pStyle w:val="Normal"/>
        <w:spacing w:before="0" w:after="0"/>
        <w:rPr>
          <w:color w:val="000000"/>
        </w:rPr>
      </w:pPr>
      <w:r>
        <w:rPr>
          <w:color w:val="000000"/>
        </w:rPr>
        <w:t>Name of bidder: 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Date: ___________________________________________________________________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Signature: _______________________________________________________________</w:t>
      </w:r>
    </w:p>
    <w:p>
      <w:pPr>
        <w:pStyle w:val="Normal"/>
        <w:spacing w:before="0" w:after="0"/>
        <w:jc w:val="both"/>
        <w:rPr>
          <w:color w:val="000000"/>
        </w:rPr>
      </w:pPr>
      <w:r>
        <w:rPr>
          <w:color w:val="000000"/>
        </w:rPr>
      </w:r>
    </w:p>
    <w:p>
      <w:pPr>
        <w:pStyle w:val="Heading4"/>
        <w:spacing w:lineRule="auto" w:line="240" w:before="0" w:after="0"/>
        <w:jc w:val="both"/>
        <w:rPr>
          <w:rFonts w:ascii="Arial" w:hAnsi="Arial" w:eastAsia="Arial" w:cs="Arial"/>
          <w:b w:val="false"/>
          <w:b w:val="false"/>
          <w:i/>
          <w:i/>
          <w:color w:val="000000"/>
          <w:sz w:val="22"/>
          <w:szCs w:val="22"/>
        </w:rPr>
      </w:pPr>
      <w:r>
        <w:rPr>
          <w:rFonts w:eastAsia="Arial" w:cs="Arial" w:ascii="Arial" w:hAnsi="Arial"/>
          <w:b w:val="false"/>
          <w:i/>
          <w:color w:val="000000"/>
          <w:sz w:val="22"/>
          <w:szCs w:val="22"/>
          <w:u w:val="single"/>
        </w:rPr>
        <w:t>Note to Bidder</w:t>
      </w:r>
      <w:r>
        <w:rPr>
          <w:rFonts w:eastAsia="Arial" w:cs="Arial" w:ascii="Arial" w:hAnsi="Arial"/>
          <w:b w:val="false"/>
          <w:i/>
          <w:color w:val="000000"/>
          <w:sz w:val="22"/>
          <w:szCs w:val="22"/>
        </w:rPr>
        <w:t>: Bidder shall declare any actual or potential conflicts of interest which may arise with respect to the project as between:</w:t>
      </w:r>
    </w:p>
    <w:p>
      <w:pPr>
        <w:pStyle w:val="Heading4"/>
        <w:spacing w:lineRule="auto" w:line="240" w:before="0" w:after="0"/>
        <w:rPr>
          <w:rFonts w:ascii="Arial" w:hAnsi="Arial" w:eastAsia="Arial" w:cs="Arial"/>
          <w:b w:val="false"/>
          <w:b w:val="false"/>
          <w:i/>
          <w:i/>
          <w:color w:val="000000"/>
          <w:sz w:val="22"/>
          <w:szCs w:val="22"/>
        </w:rPr>
      </w:pPr>
      <w:r>
        <w:rPr>
          <w:rFonts w:eastAsia="Arial" w:cs="Arial" w:ascii="Arial" w:hAnsi="Arial"/>
          <w:b w:val="false"/>
          <w:i/>
          <w:color w:val="000000"/>
          <w:sz w:val="22"/>
          <w:szCs w:val="22"/>
        </w:rPr>
        <w:t xml:space="preserve"> </w:t>
      </w:r>
    </w:p>
    <w:p>
      <w:pPr>
        <w:pStyle w:val="Heading4"/>
        <w:keepNext w:val="false"/>
        <w:numPr>
          <w:ilvl w:val="0"/>
          <w:numId w:val="15"/>
        </w:numPr>
        <w:spacing w:lineRule="auto" w:line="240" w:before="0" w:after="0"/>
        <w:ind w:left="0" w:hanging="0"/>
        <w:jc w:val="both"/>
        <w:rPr>
          <w:rFonts w:ascii="Arial" w:hAnsi="Arial" w:eastAsia="Arial" w:cs="Arial"/>
          <w:b w:val="false"/>
          <w:b w:val="false"/>
          <w:i/>
          <w:i/>
          <w:color w:val="000000"/>
          <w:sz w:val="22"/>
          <w:szCs w:val="22"/>
        </w:rPr>
      </w:pPr>
      <w:r>
        <w:rPr>
          <w:rFonts w:eastAsia="Arial" w:cs="Arial" w:ascii="Arial" w:hAnsi="Arial"/>
          <w:b w:val="false"/>
          <w:i/>
          <w:color w:val="000000"/>
          <w:sz w:val="22"/>
          <w:szCs w:val="22"/>
        </w:rPr>
        <w:t>UNOPS and the bidder; and</w:t>
      </w:r>
    </w:p>
    <w:p>
      <w:pPr>
        <w:pStyle w:val="Heading4"/>
        <w:spacing w:lineRule="auto" w:line="240" w:before="0" w:after="0"/>
        <w:rPr>
          <w:rFonts w:ascii="Arial" w:hAnsi="Arial" w:eastAsia="Arial" w:cs="Arial"/>
          <w:b w:val="false"/>
          <w:b w:val="false"/>
          <w:i/>
          <w:i/>
          <w:color w:val="000000"/>
          <w:sz w:val="22"/>
          <w:szCs w:val="22"/>
        </w:rPr>
      </w:pPr>
      <w:r>
        <w:rPr>
          <w:rFonts w:eastAsia="Arial" w:cs="Arial" w:ascii="Arial" w:hAnsi="Arial"/>
          <w:b w:val="false"/>
          <w:i/>
          <w:color w:val="000000"/>
          <w:sz w:val="22"/>
          <w:szCs w:val="22"/>
        </w:rPr>
      </w:r>
    </w:p>
    <w:p>
      <w:pPr>
        <w:pStyle w:val="Heading4"/>
        <w:keepNext w:val="false"/>
        <w:numPr>
          <w:ilvl w:val="0"/>
          <w:numId w:val="15"/>
        </w:numPr>
        <w:tabs>
          <w:tab w:val="left" w:pos="720" w:leader="none"/>
        </w:tabs>
        <w:spacing w:lineRule="auto" w:line="240" w:before="0" w:after="0"/>
        <w:ind w:left="0" w:hanging="0"/>
        <w:jc w:val="both"/>
        <w:rPr>
          <w:rFonts w:ascii="Arial" w:hAnsi="Arial" w:eastAsia="Arial" w:cs="Arial"/>
          <w:b w:val="false"/>
          <w:b w:val="false"/>
          <w:i/>
          <w:i/>
          <w:color w:val="000000"/>
          <w:sz w:val="22"/>
          <w:szCs w:val="22"/>
        </w:rPr>
      </w:pPr>
      <w:r>
        <w:rPr>
          <w:rFonts w:eastAsia="Arial" w:cs="Arial" w:ascii="Arial" w:hAnsi="Arial"/>
          <w:b w:val="false"/>
          <w:i/>
          <w:color w:val="000000"/>
          <w:sz w:val="22"/>
          <w:szCs w:val="22"/>
        </w:rPr>
        <w:t>UNOPS and any subcontractor (including consultants) proposed by the bidder</w:t>
      </w:r>
    </w:p>
    <w:p>
      <w:pPr>
        <w:pStyle w:val="Normal"/>
        <w:spacing w:before="0" w:after="0"/>
        <w:jc w:val="both"/>
        <w:rPr>
          <w:color w:val="000000"/>
        </w:rPr>
      </w:pPr>
      <w:r>
        <w:rPr>
          <w:color w:val="000000"/>
        </w:rPr>
      </w:r>
    </w:p>
    <w:p>
      <w:pPr>
        <w:pStyle w:val="Normal"/>
        <w:spacing w:before="0" w:after="0"/>
        <w:rPr>
          <w:color w:val="000000"/>
        </w:rPr>
      </w:pPr>
      <w:r>
        <w:rPr>
          <w:color w:val="000000"/>
        </w:rPr>
      </w:r>
      <w:r>
        <w:br w:type="page"/>
      </w:r>
    </w:p>
    <w:p>
      <w:pPr>
        <w:pStyle w:val="Normal"/>
        <w:keepNext w:val="true"/>
        <w:spacing w:before="0" w:after="0"/>
        <w:jc w:val="center"/>
        <w:rPr>
          <w:b/>
          <w:b/>
          <w:smallCaps/>
          <w:color w:val="000000"/>
        </w:rPr>
      </w:pPr>
      <w:r>
        <w:rPr>
          <w:b/>
          <w:smallCaps/>
          <w:color w:val="000000"/>
        </w:rPr>
        <w:t>RETURNABLE BID SCHEDULE 1</w:t>
      </w:r>
      <w:r>
        <w:rPr>
          <w:b/>
          <w:smallCaps/>
          <w:color w:val="000000"/>
          <w:lang w:val="en-US"/>
        </w:rPr>
        <w:t>0</w:t>
      </w:r>
    </w:p>
    <w:p>
      <w:pPr>
        <w:pStyle w:val="Normal"/>
        <w:spacing w:before="0" w:after="0"/>
        <w:jc w:val="both"/>
        <w:rPr>
          <w:smallCaps/>
          <w:color w:val="000000"/>
        </w:rPr>
      </w:pPr>
      <w:r>
        <w:rPr>
          <w:smallCaps/>
          <w:color w:val="000000"/>
        </w:rPr>
      </w:r>
    </w:p>
    <w:p>
      <w:pPr>
        <w:pStyle w:val="Normal"/>
        <w:keepNext w:val="true"/>
        <w:spacing w:before="0" w:after="0"/>
        <w:jc w:val="center"/>
        <w:rPr>
          <w:b/>
          <w:b/>
          <w:smallCaps/>
          <w:color w:val="000000"/>
        </w:rPr>
      </w:pPr>
      <w:r>
        <w:rPr>
          <w:b/>
          <w:smallCaps/>
          <w:color w:val="000000"/>
        </w:rPr>
        <w:t>ADDENDA TO ITB</w:t>
      </w:r>
    </w:p>
    <w:p>
      <w:pPr>
        <w:pStyle w:val="Normal"/>
        <w:spacing w:before="0" w:after="0"/>
        <w:jc w:val="both"/>
        <w:rPr>
          <w:color w:val="000000"/>
        </w:rPr>
      </w:pPr>
      <w:r>
        <w:rPr>
          <w:color w:val="000000"/>
        </w:rPr>
      </w:r>
    </w:p>
    <w:p>
      <w:pPr>
        <w:pStyle w:val="Normal"/>
        <w:spacing w:before="0" w:after="0"/>
        <w:rPr>
          <w:color w:val="000000"/>
        </w:rPr>
      </w:pPr>
      <w:r>
        <w:rPr>
          <w:color w:val="000000"/>
        </w:rPr>
        <w:t>ITB Case No.:______________________________________________________________</w:t>
      </w:r>
    </w:p>
    <w:p>
      <w:pPr>
        <w:pStyle w:val="Normal"/>
        <w:spacing w:before="0" w:after="0"/>
        <w:rPr>
          <w:color w:val="000000"/>
        </w:rPr>
      </w:pPr>
      <w:r>
        <w:rPr>
          <w:color w:val="000000"/>
        </w:rPr>
      </w:r>
    </w:p>
    <w:p>
      <w:pPr>
        <w:pStyle w:val="Normal"/>
        <w:spacing w:before="0" w:after="0"/>
        <w:rPr>
          <w:color w:val="000000"/>
        </w:rPr>
      </w:pPr>
      <w:r>
        <w:rPr>
          <w:color w:val="000000"/>
        </w:rPr>
        <w:t>Name of bidder: 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Date: ____________________________________________________________________</w:t>
      </w:r>
    </w:p>
    <w:p>
      <w:pPr>
        <w:pStyle w:val="Normal"/>
        <w:spacing w:before="0" w:after="0"/>
        <w:jc w:val="both"/>
        <w:rPr>
          <w:color w:val="000000"/>
        </w:rPr>
      </w:pPr>
      <w:r>
        <w:rPr>
          <w:color w:val="000000"/>
        </w:rPr>
      </w:r>
    </w:p>
    <w:p>
      <w:pPr>
        <w:pStyle w:val="Normal"/>
        <w:spacing w:before="0" w:after="0"/>
        <w:jc w:val="both"/>
        <w:rPr>
          <w:color w:val="000000"/>
        </w:rPr>
      </w:pPr>
      <w:r>
        <w:rPr>
          <w:color w:val="000000"/>
        </w:rPr>
        <w:t>Signature: _________________________________________________________________</w:t>
      </w:r>
    </w:p>
    <w:p>
      <w:pPr>
        <w:pStyle w:val="Normal"/>
        <w:keepNext w:val="true"/>
        <w:spacing w:before="0" w:after="0"/>
        <w:jc w:val="both"/>
        <w:rPr>
          <w:color w:val="000000"/>
        </w:rPr>
      </w:pPr>
      <w:r>
        <w:rPr>
          <w:color w:val="000000"/>
        </w:rPr>
      </w:r>
    </w:p>
    <w:p>
      <w:pPr>
        <w:pStyle w:val="Normal"/>
        <w:keepNext w:val="true"/>
        <w:spacing w:before="0" w:after="0"/>
        <w:jc w:val="both"/>
        <w:rPr>
          <w:color w:val="000000"/>
        </w:rPr>
      </w:pPr>
      <w:r>
        <w:rPr>
          <w:color w:val="000000"/>
        </w:rPr>
        <w:t>We acknowledge receipt of the following Addenda, which have been taken into account in preparing the bid:</w:t>
      </w:r>
    </w:p>
    <w:p>
      <w:pPr>
        <w:pStyle w:val="Normal"/>
        <w:keepNext w:val="true"/>
        <w:spacing w:before="0" w:after="0"/>
        <w:jc w:val="both"/>
        <w:rPr>
          <w:color w:val="000000"/>
        </w:rPr>
      </w:pPr>
      <w:r>
        <w:rPr>
          <w:color w:val="000000"/>
        </w:rPr>
      </w:r>
    </w:p>
    <w:tbl>
      <w:tblPr>
        <w:tblStyle w:val="af3"/>
        <w:tblW w:w="9245"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622"/>
        <w:gridCol w:w="4622"/>
      </w:tblGrid>
      <w:tr>
        <w:trPr/>
        <w:tc>
          <w:tcPr>
            <w:tcW w:w="4622" w:type="dxa"/>
            <w:tcBorders>
              <w:top w:val="single" w:sz="4" w:space="0" w:color="000000"/>
              <w:left w:val="single" w:sz="4" w:space="0" w:color="000000"/>
              <w:bottom w:val="single" w:sz="4" w:space="0" w:color="000000"/>
              <w:right w:val="single" w:sz="4" w:space="0" w:color="000000"/>
            </w:tcBorders>
            <w:shd w:color="auto" w:fill="B3B3B3" w:val="clear"/>
          </w:tcPr>
          <w:p>
            <w:pPr>
              <w:pStyle w:val="Normal"/>
              <w:widowControl w:val="false"/>
              <w:spacing w:before="0" w:after="0"/>
              <w:jc w:val="center"/>
              <w:rPr>
                <w:b/>
                <w:b/>
                <w:color w:val="000000"/>
              </w:rPr>
            </w:pPr>
            <w:r>
              <w:rPr>
                <w:b/>
                <w:color w:val="000000"/>
              </w:rPr>
              <w:t>Addendum Number</w:t>
            </w:r>
          </w:p>
        </w:tc>
        <w:tc>
          <w:tcPr>
            <w:tcW w:w="4622" w:type="dxa"/>
            <w:tcBorders>
              <w:top w:val="single" w:sz="4" w:space="0" w:color="000000"/>
              <w:left w:val="single" w:sz="4" w:space="0" w:color="000000"/>
              <w:bottom w:val="single" w:sz="4" w:space="0" w:color="000000"/>
              <w:right w:val="single" w:sz="4" w:space="0" w:color="000000"/>
            </w:tcBorders>
            <w:shd w:color="auto" w:fill="B3B3B3" w:val="clear"/>
          </w:tcPr>
          <w:p>
            <w:pPr>
              <w:pStyle w:val="Normal"/>
              <w:widowControl w:val="false"/>
              <w:spacing w:before="0" w:after="0"/>
              <w:jc w:val="center"/>
              <w:rPr>
                <w:b/>
                <w:b/>
                <w:color w:val="000000"/>
              </w:rPr>
            </w:pPr>
            <w:r>
              <w:rPr>
                <w:b/>
                <w:color w:val="000000"/>
              </w:rPr>
              <w:t>Dated</w:t>
            </w:r>
          </w:p>
        </w:tc>
      </w:tr>
      <w:tr>
        <w:trPr/>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MarginText"/>
              <w:widowControl w:val="false"/>
              <w:spacing w:lineRule="auto" w:line="240" w:before="0" w:after="0"/>
              <w:jc w:val="left"/>
              <w:rPr>
                <w:rFonts w:ascii="Arial" w:hAnsi="Arial" w:cs="Arial"/>
                <w:color w:val="000000"/>
                <w:szCs w:val="22"/>
                <w:lang w:val="en-AU"/>
              </w:rPr>
            </w:pPr>
            <w:r>
              <w:rPr>
                <w:rFonts w:cs="Arial" w:ascii="Arial" w:hAnsi="Arial"/>
                <w:color w:val="000000"/>
                <w:szCs w:val="22"/>
                <w:lang w:val="en-AU"/>
              </w:rPr>
              <w:t xml:space="preserve">Annex 1 </w:t>
            </w:r>
            <w:bookmarkStart w:id="52" w:name="_Hlk36651234"/>
            <w:r>
              <w:rPr>
                <w:rFonts w:cs="Arial" w:ascii="Arial" w:hAnsi="Arial"/>
                <w:color w:val="000000"/>
                <w:szCs w:val="22"/>
                <w:lang w:val="en-AU"/>
              </w:rPr>
              <w:t>14012020_Specification for all modules</w:t>
            </w:r>
            <w:bookmarkStart w:id="53" w:name="OLE_LINK9"/>
            <w:bookmarkStart w:id="54" w:name="OLE_LINK7"/>
            <w:bookmarkEnd w:id="52"/>
            <w:bookmarkEnd w:id="53"/>
            <w:bookmarkEnd w:id="54"/>
          </w:p>
          <w:p>
            <w:pPr>
              <w:pStyle w:val="Normal"/>
              <w:widowControl w:val="false"/>
              <w:spacing w:before="0" w:after="0"/>
              <w:jc w:val="both"/>
              <w:rPr>
                <w:color w:val="000000"/>
              </w:rPr>
            </w:pPr>
            <w:r>
              <w:rPr>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r>
        <w:trPr/>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p>
            <w:pPr>
              <w:pStyle w:val="MarginText"/>
              <w:widowControl w:val="false"/>
              <w:spacing w:lineRule="auto" w:line="240" w:before="0" w:after="0"/>
              <w:jc w:val="left"/>
              <w:rPr>
                <w:rFonts w:ascii="Arial" w:hAnsi="Arial" w:cs="Arial"/>
                <w:color w:val="000000"/>
                <w:szCs w:val="22"/>
                <w:lang w:val="en-AU"/>
              </w:rPr>
            </w:pPr>
            <w:r>
              <w:rPr>
                <w:rFonts w:cs="Arial" w:ascii="Arial" w:hAnsi="Arial"/>
                <w:color w:val="000000"/>
                <w:szCs w:val="22"/>
                <w:lang w:val="en-AU"/>
              </w:rPr>
              <w:t>Annex 2 Drawings</w:t>
            </w:r>
            <w:bookmarkStart w:id="55" w:name="_Hlk22822177"/>
            <w:bookmarkEnd w:id="55"/>
          </w:p>
          <w:p>
            <w:pPr>
              <w:pStyle w:val="Normal"/>
              <w:widowControl w:val="false"/>
              <w:spacing w:before="0" w:after="0"/>
              <w:jc w:val="both"/>
              <w:rPr>
                <w:color w:val="000000"/>
              </w:rPr>
            </w:pPr>
            <w:r>
              <w:rPr>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r>
        <w:trPr/>
        <w:tc>
          <w:tcPr>
            <w:tcW w:w="4622" w:type="dxa"/>
            <w:tcBorders>
              <w:top w:val="single" w:sz="4" w:space="0" w:color="000000"/>
              <w:left w:val="single" w:sz="4" w:space="0" w:color="000000"/>
              <w:bottom w:val="single" w:sz="4" w:space="0" w:color="000000"/>
              <w:right w:val="single" w:sz="4" w:space="0" w:color="000000"/>
            </w:tcBorders>
          </w:tcPr>
          <w:p>
            <w:pPr>
              <w:pStyle w:val="MarginText"/>
              <w:widowControl w:val="false"/>
              <w:spacing w:lineRule="auto" w:line="240" w:before="0" w:after="0"/>
              <w:jc w:val="left"/>
              <w:rPr>
                <w:rFonts w:ascii="Arial" w:hAnsi="Arial" w:cs="Arial"/>
                <w:color w:val="000000"/>
                <w:szCs w:val="22"/>
                <w:lang w:val="en-AU"/>
              </w:rPr>
            </w:pPr>
            <w:r>
              <w:rPr>
                <w:rFonts w:cs="Arial" w:ascii="Arial" w:hAnsi="Arial"/>
                <w:color w:val="000000"/>
                <w:szCs w:val="22"/>
                <w:lang w:val="en-AU"/>
              </w:rPr>
              <w:t>Annex 3 BOQ</w:t>
            </w:r>
          </w:p>
          <w:p>
            <w:pPr>
              <w:pStyle w:val="Normal"/>
              <w:widowControl w:val="false"/>
              <w:spacing w:before="0" w:after="0"/>
              <w:jc w:val="both"/>
              <w:rPr>
                <w:color w:val="000000"/>
              </w:rPr>
            </w:pPr>
            <w:r>
              <w:rPr>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r>
        <w:trPr/>
        <w:tc>
          <w:tcPr>
            <w:tcW w:w="4622" w:type="dxa"/>
            <w:tcBorders>
              <w:top w:val="single" w:sz="4" w:space="0" w:color="000000"/>
              <w:left w:val="single" w:sz="4" w:space="0" w:color="000000"/>
              <w:bottom w:val="single" w:sz="4" w:space="0" w:color="000000"/>
              <w:right w:val="single" w:sz="4" w:space="0" w:color="000000"/>
            </w:tcBorders>
          </w:tcPr>
          <w:p>
            <w:pPr>
              <w:pStyle w:val="MarginText"/>
              <w:widowControl w:val="false"/>
              <w:spacing w:lineRule="auto" w:line="240" w:before="0" w:after="0"/>
              <w:rPr>
                <w:rFonts w:ascii="Arial" w:hAnsi="Arial" w:cs="Arial"/>
                <w:color w:val="000000"/>
                <w:szCs w:val="22"/>
                <w:lang w:val="en-AU"/>
              </w:rPr>
            </w:pPr>
            <w:r>
              <w:rPr>
                <w:rFonts w:cs="Arial" w:ascii="Arial" w:hAnsi="Arial"/>
                <w:color w:val="000000"/>
                <w:szCs w:val="22"/>
                <w:lang w:val="en-AU"/>
              </w:rPr>
              <w:t>Annex A - UNOPS Health and Safety Management Plan</w:t>
            </w:r>
          </w:p>
          <w:p>
            <w:pPr>
              <w:pStyle w:val="Normal"/>
              <w:widowControl w:val="false"/>
              <w:spacing w:before="0" w:after="0"/>
              <w:jc w:val="both"/>
              <w:rPr>
                <w:color w:val="000000"/>
              </w:rPr>
            </w:pPr>
            <w:r>
              <w:rPr>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r>
        <w:trPr/>
        <w:tc>
          <w:tcPr>
            <w:tcW w:w="4622" w:type="dxa"/>
            <w:tcBorders>
              <w:top w:val="single" w:sz="4" w:space="0" w:color="000000"/>
              <w:left w:val="single" w:sz="4" w:space="0" w:color="000000"/>
              <w:bottom w:val="single" w:sz="4" w:space="0" w:color="000000"/>
              <w:right w:val="single" w:sz="4" w:space="0" w:color="000000"/>
            </w:tcBorders>
          </w:tcPr>
          <w:p>
            <w:pPr>
              <w:pStyle w:val="MarginText"/>
              <w:widowControl w:val="false"/>
              <w:spacing w:lineRule="auto" w:line="240" w:before="0" w:after="0"/>
              <w:rPr>
                <w:rFonts w:ascii="Arial" w:hAnsi="Arial" w:cs="Arial"/>
                <w:color w:val="000000"/>
                <w:szCs w:val="22"/>
                <w:lang w:val="en-AU"/>
              </w:rPr>
            </w:pPr>
            <w:r>
              <w:rPr>
                <w:rFonts w:cs="Arial" w:ascii="Arial" w:hAnsi="Arial"/>
                <w:color w:val="000000"/>
                <w:szCs w:val="22"/>
                <w:lang w:val="en-AU"/>
              </w:rPr>
              <w:t>Annex B - UNOPS Quality Management Plan</w:t>
            </w:r>
          </w:p>
          <w:p>
            <w:pPr>
              <w:pStyle w:val="Normal"/>
              <w:widowControl w:val="false"/>
              <w:spacing w:before="0" w:after="0"/>
              <w:jc w:val="both"/>
              <w:rPr>
                <w:color w:val="000000"/>
              </w:rPr>
            </w:pPr>
            <w:r>
              <w:rPr>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r>
        <w:trPr/>
        <w:tc>
          <w:tcPr>
            <w:tcW w:w="4622" w:type="dxa"/>
            <w:tcBorders>
              <w:top w:val="single" w:sz="4" w:space="0" w:color="000000"/>
              <w:left w:val="single" w:sz="4" w:space="0" w:color="000000"/>
              <w:bottom w:val="single" w:sz="4" w:space="0" w:color="000000"/>
              <w:right w:val="single" w:sz="4" w:space="0" w:color="000000"/>
            </w:tcBorders>
          </w:tcPr>
          <w:p>
            <w:pPr>
              <w:pStyle w:val="MarginText"/>
              <w:widowControl w:val="false"/>
              <w:spacing w:lineRule="auto" w:line="240" w:before="0" w:after="0"/>
              <w:rPr>
                <w:rFonts w:ascii="Arial" w:hAnsi="Arial" w:cs="Arial"/>
                <w:color w:val="000000"/>
                <w:szCs w:val="22"/>
                <w:lang w:val="en-AU"/>
              </w:rPr>
            </w:pPr>
            <w:r>
              <w:rPr>
                <w:rFonts w:cs="Arial" w:ascii="Arial" w:hAnsi="Arial"/>
                <w:color w:val="000000"/>
                <w:szCs w:val="22"/>
                <w:lang w:val="en-AU"/>
              </w:rPr>
              <w:t>Annex C - UNOPS Environmental Management Plan</w:t>
            </w:r>
            <w:bookmarkStart w:id="56" w:name="OLE_LINK11"/>
            <w:bookmarkStart w:id="57" w:name="OLE_LINK10"/>
            <w:bookmarkEnd w:id="56"/>
            <w:bookmarkEnd w:id="57"/>
          </w:p>
          <w:p>
            <w:pPr>
              <w:pStyle w:val="Normal"/>
              <w:widowControl w:val="false"/>
              <w:spacing w:before="0" w:after="0"/>
              <w:jc w:val="both"/>
              <w:rPr>
                <w:color w:val="000000"/>
              </w:rPr>
            </w:pPr>
            <w:r>
              <w:rPr>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r>
        <w:trPr/>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eastAsia="Times New Roman"/>
                <w:color w:val="000000"/>
              </w:rPr>
            </w:pPr>
            <w:r>
              <w:rPr>
                <w:rFonts w:eastAsia="Times New Roman"/>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bookmarkStart w:id="58" w:name="_Hlk36651286"/>
            <w:bookmarkStart w:id="59" w:name="_Hlk36651286"/>
            <w:bookmarkEnd w:id="59"/>
          </w:p>
        </w:tc>
      </w:tr>
      <w:tr>
        <w:trPr/>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eastAsia="Times New Roman"/>
                <w:color w:val="000000"/>
              </w:rPr>
            </w:pPr>
            <w:r>
              <w:rPr>
                <w:rFonts w:eastAsia="Times New Roman"/>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r>
        <w:trPr>
          <w:trHeight w:val="291" w:hRule="atLeast"/>
        </w:trPr>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rFonts w:eastAsia="Times New Roman"/>
                <w:color w:val="000000"/>
              </w:rPr>
            </w:pPr>
            <w:r>
              <w:rPr>
                <w:rFonts w:eastAsia="Times New Roman"/>
                <w:color w:val="000000"/>
              </w:rPr>
            </w:r>
          </w:p>
        </w:tc>
        <w:tc>
          <w:tcPr>
            <w:tcW w:w="462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both"/>
              <w:rPr>
                <w:color w:val="000000"/>
              </w:rPr>
            </w:pPr>
            <w:r>
              <w:rPr>
                <w:color w:val="000000"/>
              </w:rPr>
            </w:r>
          </w:p>
        </w:tc>
      </w:tr>
    </w:tbl>
    <w:p>
      <w:pPr>
        <w:pStyle w:val="Normal"/>
        <w:spacing w:before="0" w:after="0"/>
        <w:jc w:val="both"/>
        <w:rPr>
          <w:color w:val="000000"/>
        </w:rPr>
      </w:pPr>
      <w:r>
        <w:rPr>
          <w:color w:val="000000"/>
        </w:rPr>
      </w:r>
    </w:p>
    <w:p>
      <w:pPr>
        <w:pStyle w:val="Normal"/>
        <w:spacing w:before="0" w:after="0"/>
        <w:rPr>
          <w:b/>
          <w:b/>
          <w:smallCaps/>
          <w:color w:val="000000"/>
          <w:lang w:val="uk-UA"/>
        </w:rPr>
      </w:pPr>
      <w:r>
        <w:rPr>
          <w:b/>
          <w:smallCaps/>
          <w:color w:val="000000"/>
          <w:lang w:val="uk-UA"/>
        </w:rPr>
      </w:r>
      <w:r>
        <w:br w:type="page"/>
      </w:r>
    </w:p>
    <w:p>
      <w:pPr>
        <w:pStyle w:val="Normal"/>
        <w:spacing w:before="0" w:after="0"/>
        <w:jc w:val="center"/>
        <w:rPr>
          <w:b/>
          <w:b/>
          <w:smallCaps/>
          <w:color w:val="000000"/>
          <w:u w:val="single"/>
        </w:rPr>
      </w:pPr>
      <w:r>
        <w:rPr>
          <w:b/>
          <w:smallCaps/>
          <w:color w:val="000000"/>
        </w:rPr>
        <w:t>SECTION V: UNOPS MINOR WORKS CONTRACT</w:t>
      </w:r>
    </w:p>
    <w:p>
      <w:pPr>
        <w:pStyle w:val="Normal"/>
        <w:spacing w:before="0" w:after="0"/>
        <w:jc w:val="center"/>
        <w:rPr>
          <w:b/>
          <w:b/>
          <w:color w:val="000000"/>
          <w:u w:val="single"/>
        </w:rPr>
      </w:pPr>
      <w:r>
        <w:rPr>
          <w:b/>
          <w:color w:val="000000"/>
          <w:u w:val="single"/>
        </w:rPr>
      </w:r>
    </w:p>
    <w:p>
      <w:pPr>
        <w:pStyle w:val="Normal"/>
        <w:tabs>
          <w:tab w:val="left" w:pos="720" w:leader="none"/>
        </w:tabs>
        <w:spacing w:before="0" w:after="0"/>
        <w:jc w:val="center"/>
        <w:rPr>
          <w:color w:val="000000"/>
        </w:rPr>
      </w:pPr>
      <w:r>
        <w:rPr>
          <w:color w:val="000000"/>
        </w:rPr>
        <w:t>[</w:t>
      </w:r>
      <w:r>
        <w:rPr>
          <w:b/>
          <w:i/>
          <w:color w:val="000000"/>
          <w:highlight w:val="lightGray"/>
        </w:rPr>
        <w:t>Insert UNOPS Minor Works Contract</w:t>
      </w:r>
      <w:r>
        <w:rPr>
          <w:color w:val="000000"/>
        </w:rPr>
        <w:t>]</w:t>
      </w:r>
    </w:p>
    <w:p>
      <w:pPr>
        <w:pStyle w:val="Normal"/>
        <w:spacing w:before="0" w:after="0"/>
        <w:rPr>
          <w:b/>
          <w:b/>
          <w:smallCaps/>
          <w:color w:val="000000"/>
        </w:rPr>
      </w:pPr>
      <w:r>
        <w:rPr/>
      </w:r>
    </w:p>
    <w:sectPr>
      <w:headerReference w:type="default" r:id="rId23"/>
      <w:footerReference w:type="default" r:id="rId24"/>
      <w:type w:val="nextPage"/>
      <w:pgSz w:w="11906" w:h="16838"/>
      <w:pgMar w:left="1440" w:right="1440" w:header="432" w:top="1440" w:footer="389"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Calibri">
    <w:charset w:val="00"/>
    <w:family w:val="roman"/>
    <w:pitch w:val="variable"/>
  </w:font>
  <w:font w:name="Liberation Sans">
    <w:altName w:val="Arial"/>
    <w:charset w:val="00"/>
    <w:family w:val="roman"/>
    <w:pitch w:val="variable"/>
  </w:font>
  <w:font w:name="Georgia">
    <w:charset w:val="00"/>
    <w:family w:val="roman"/>
    <w:pitch w:val="variable"/>
  </w:font>
  <w:font w:name="Open Sans">
    <w:charset w:val="00"/>
    <w:family w:val="roman"/>
    <w:pitch w:val="variable"/>
  </w:font>
  <w:font w:name="Noto Sans Symbols">
    <w:charset w:val="01"/>
    <w:family w:val="auto"/>
    <w:pitch w:val="default"/>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20"/>
        <w:tab w:val="left" w:pos="5430" w:leader="none"/>
      </w:tabs>
      <w:spacing w:before="100" w:after="100"/>
      <w:rPr>
        <w:color w:val="000000"/>
      </w:rPr>
    </w:pPr>
    <w:r>
      <w:rPr>
        <w:color w:val="000000"/>
      </w:rPr>
      <w:tab/>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bidi w:val="0"/>
      <w:spacing w:before="100" w:after="100"/>
      <w:jc w:val="lef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88" w:before="0" w:after="0"/>
      <w:jc w:val="both"/>
      <w:rPr>
        <w:rFonts w:ascii="Open Sans" w:hAnsi="Open Sans" w:eastAsia="Open Sans" w:cs="Open Sans"/>
        <w:b/>
        <w:b/>
        <w:sz w:val="14"/>
        <w:szCs w:val="14"/>
      </w:rPr>
    </w:pPr>
    <w:r>
      <w:rPr>
        <w:rFonts w:eastAsia="Open Sans" w:cs="Open Sans" w:ascii="Open Sans" w:hAnsi="Open Sans"/>
        <w:b/>
        <w:sz w:val="14"/>
        <w:szCs w:val="14"/>
      </w:rPr>
    </w:r>
  </w:p>
  <w:tbl>
    <w:tblPr>
      <w:tblStyle w:val="af4"/>
      <w:tblW w:w="9027" w:type="dxa"/>
      <w:jc w:val="center"/>
      <w:tblInd w:w="0" w:type="dxa"/>
      <w:tblLayout w:type="fixed"/>
      <w:tblCellMar>
        <w:top w:w="100" w:type="dxa"/>
        <w:left w:w="100" w:type="dxa"/>
        <w:bottom w:w="100" w:type="dxa"/>
        <w:right w:w="100" w:type="dxa"/>
      </w:tblCellMar>
      <w:tblLook w:firstRow="0" w:noVBand="1" w:lastRow="0" w:firstColumn="0" w:lastColumn="0" w:noHBand="1" w:val="0600"/>
    </w:tblPr>
    <w:tblGrid>
      <w:gridCol w:w="3180"/>
      <w:gridCol w:w="2850"/>
      <w:gridCol w:w="2997"/>
    </w:tblGrid>
    <w:tr>
      <w:trPr>
        <w:trHeight w:val="180" w:hRule="atLeast"/>
      </w:trPr>
      <w:tc>
        <w:tcPr>
          <w:tcW w:w="3180" w:type="dxa"/>
          <w:tcBorders/>
          <w:shd w:color="auto" w:fill="auto" w:val="clear"/>
          <w:vAlign w:val="center"/>
        </w:tcPr>
        <w:p>
          <w:pPr>
            <w:pStyle w:val="Normal"/>
            <w:widowControl w:val="false"/>
            <w:spacing w:lineRule="auto" w:line="288" w:before="0" w:after="0"/>
            <w:rPr>
              <w:color w:val="0092D1"/>
              <w:sz w:val="14"/>
              <w:szCs w:val="14"/>
            </w:rPr>
          </w:pPr>
          <w:r>
            <w:rPr>
              <w:color w:val="0092D1"/>
              <w:sz w:val="14"/>
              <w:szCs w:val="14"/>
            </w:rPr>
            <w:t>Invitation to Bid – Minor Works</w:t>
          </w:r>
        </w:p>
      </w:tc>
      <w:tc>
        <w:tcPr>
          <w:tcW w:w="2850" w:type="dxa"/>
          <w:tcBorders/>
          <w:shd w:color="auto" w:fill="auto" w:val="clear"/>
          <w:vAlign w:val="center"/>
        </w:tcPr>
        <w:p>
          <w:pPr>
            <w:pStyle w:val="Normal"/>
            <w:widowControl w:val="false"/>
            <w:spacing w:before="0" w:after="0"/>
            <w:jc w:val="center"/>
            <w:rPr>
              <w:b/>
              <w:b/>
              <w:sz w:val="14"/>
              <w:szCs w:val="14"/>
            </w:rPr>
          </w:pPr>
          <w:r>
            <w:rPr>
              <w:b/>
              <w:sz w:val="14"/>
              <w:szCs w:val="14"/>
            </w:rPr>
            <w:fldChar w:fldCharType="begin"/>
          </w:r>
          <w:r>
            <w:rPr>
              <w:sz w:val="14"/>
              <w:b/>
              <w:szCs w:val="14"/>
            </w:rPr>
            <w:instrText> PAGE </w:instrText>
          </w:r>
          <w:r>
            <w:rPr>
              <w:sz w:val="14"/>
              <w:b/>
              <w:szCs w:val="14"/>
            </w:rPr>
            <w:fldChar w:fldCharType="separate"/>
          </w:r>
          <w:r>
            <w:rPr>
              <w:sz w:val="14"/>
              <w:b/>
              <w:szCs w:val="14"/>
            </w:rPr>
            <w:t>3</w:t>
          </w:r>
          <w:r>
            <w:rPr>
              <w:sz w:val="14"/>
              <w:b/>
              <w:szCs w:val="14"/>
            </w:rPr>
            <w:fldChar w:fldCharType="end"/>
          </w:r>
          <w:r>
            <w:rPr>
              <w:b/>
              <w:sz w:val="14"/>
              <w:szCs w:val="14"/>
            </w:rPr>
            <w:t xml:space="preserve"> </w:t>
          </w:r>
          <w:r>
            <w:rPr>
              <w:b/>
              <w:sz w:val="14"/>
              <w:szCs w:val="14"/>
            </w:rPr>
            <w:t xml:space="preserve">of </w:t>
          </w:r>
          <w:r>
            <w:rPr>
              <w:b/>
              <w:sz w:val="14"/>
              <w:szCs w:val="14"/>
            </w:rPr>
            <w:fldChar w:fldCharType="begin"/>
          </w:r>
          <w:r>
            <w:rPr>
              <w:sz w:val="14"/>
              <w:b/>
              <w:szCs w:val="14"/>
            </w:rPr>
            <w:instrText> NUMPAGES </w:instrText>
          </w:r>
          <w:r>
            <w:rPr>
              <w:sz w:val="14"/>
              <w:b/>
              <w:szCs w:val="14"/>
            </w:rPr>
            <w:fldChar w:fldCharType="separate"/>
          </w:r>
          <w:r>
            <w:rPr>
              <w:sz w:val="14"/>
              <w:b/>
              <w:szCs w:val="14"/>
            </w:rPr>
            <w:t>36</w:t>
          </w:r>
          <w:r>
            <w:rPr>
              <w:sz w:val="14"/>
              <w:b/>
              <w:szCs w:val="14"/>
            </w:rPr>
            <w:fldChar w:fldCharType="end"/>
          </w:r>
        </w:p>
      </w:tc>
      <w:tc>
        <w:tcPr>
          <w:tcW w:w="2997" w:type="dxa"/>
          <w:tcBorders/>
          <w:shd w:color="auto" w:fill="auto" w:val="clear"/>
          <w:vAlign w:val="center"/>
        </w:tcPr>
        <w:p>
          <w:pPr>
            <w:pStyle w:val="Normal"/>
            <w:widowControl w:val="false"/>
            <w:spacing w:before="0" w:after="60"/>
            <w:ind w:left="720" w:hanging="0"/>
            <w:jc w:val="right"/>
            <w:rPr>
              <w:b/>
              <w:b/>
              <w:color w:val="646B6E"/>
              <w:sz w:val="14"/>
              <w:szCs w:val="14"/>
            </w:rPr>
          </w:pPr>
          <w:r>
            <w:rPr>
              <w:color w:val="646B6E"/>
              <w:sz w:val="14"/>
              <w:szCs w:val="14"/>
            </w:rPr>
            <w:t>UNOPS 2011</w:t>
          </w:r>
        </w:p>
      </w:tc>
    </w:tr>
  </w:tbl>
  <w:p>
    <w:pPr>
      <w:pStyle w:val="Normal"/>
      <w:tabs>
        <w:tab w:val="clear" w:pos="720"/>
        <w:tab w:val="right" w:pos="8370" w:leader="none"/>
      </w:tabs>
      <w:spacing w:before="100" w:after="100"/>
      <w:rPr>
        <w:color w:val="000000"/>
      </w:rPr>
    </w:pPr>
    <w:r>
      <w:rPr>
        <w:color w:val="000000"/>
      </w:rPr>
      <w:tab/>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88" w:before="0" w:after="0"/>
      <w:jc w:val="both"/>
      <w:rPr>
        <w:rFonts w:ascii="Open Sans" w:hAnsi="Open Sans" w:eastAsia="Open Sans" w:cs="Open Sans"/>
        <w:b/>
        <w:b/>
        <w:sz w:val="14"/>
        <w:szCs w:val="14"/>
      </w:rPr>
    </w:pPr>
    <w:r>
      <w:rPr>
        <w:rFonts w:eastAsia="Open Sans" w:cs="Open Sans" w:ascii="Open Sans" w:hAnsi="Open Sans"/>
        <w:b/>
        <w:sz w:val="14"/>
        <w:szCs w:val="14"/>
      </w:rPr>
    </w:r>
  </w:p>
  <w:tbl>
    <w:tblPr>
      <w:tblStyle w:val="af4"/>
      <w:tblW w:w="9027" w:type="dxa"/>
      <w:jc w:val="center"/>
      <w:tblInd w:w="0" w:type="dxa"/>
      <w:tblLayout w:type="fixed"/>
      <w:tblCellMar>
        <w:top w:w="100" w:type="dxa"/>
        <w:left w:w="100" w:type="dxa"/>
        <w:bottom w:w="100" w:type="dxa"/>
        <w:right w:w="100" w:type="dxa"/>
      </w:tblCellMar>
      <w:tblLook w:firstRow="0" w:noVBand="1" w:lastRow="0" w:firstColumn="0" w:lastColumn="0" w:noHBand="1" w:val="0600"/>
    </w:tblPr>
    <w:tblGrid>
      <w:gridCol w:w="3180"/>
      <w:gridCol w:w="2850"/>
      <w:gridCol w:w="2997"/>
    </w:tblGrid>
    <w:tr>
      <w:trPr>
        <w:trHeight w:val="180" w:hRule="atLeast"/>
      </w:trPr>
      <w:tc>
        <w:tcPr>
          <w:tcW w:w="3180" w:type="dxa"/>
          <w:tcBorders/>
          <w:shd w:color="auto" w:fill="auto" w:val="clear"/>
          <w:vAlign w:val="center"/>
        </w:tcPr>
        <w:p>
          <w:pPr>
            <w:pStyle w:val="Normal"/>
            <w:widowControl w:val="false"/>
            <w:spacing w:lineRule="auto" w:line="288" w:before="0" w:after="0"/>
            <w:rPr>
              <w:color w:val="0092D1"/>
              <w:sz w:val="14"/>
              <w:szCs w:val="14"/>
            </w:rPr>
          </w:pPr>
          <w:r>
            <w:rPr>
              <w:color w:val="0092D1"/>
              <w:sz w:val="14"/>
              <w:szCs w:val="14"/>
            </w:rPr>
            <w:t>Invitation to Bid – Minor Works</w:t>
          </w:r>
        </w:p>
      </w:tc>
      <w:tc>
        <w:tcPr>
          <w:tcW w:w="2850" w:type="dxa"/>
          <w:tcBorders/>
          <w:shd w:color="auto" w:fill="auto" w:val="clear"/>
          <w:vAlign w:val="center"/>
        </w:tcPr>
        <w:p>
          <w:pPr>
            <w:pStyle w:val="Normal"/>
            <w:widowControl w:val="false"/>
            <w:spacing w:before="0" w:after="0"/>
            <w:jc w:val="center"/>
            <w:rPr>
              <w:b/>
              <w:b/>
              <w:sz w:val="14"/>
              <w:szCs w:val="14"/>
            </w:rPr>
          </w:pPr>
          <w:r>
            <w:rPr>
              <w:b/>
              <w:sz w:val="14"/>
              <w:szCs w:val="14"/>
            </w:rPr>
            <w:fldChar w:fldCharType="begin"/>
          </w:r>
          <w:r>
            <w:rPr>
              <w:sz w:val="14"/>
              <w:b/>
              <w:szCs w:val="14"/>
            </w:rPr>
            <w:instrText> PAGE </w:instrText>
          </w:r>
          <w:r>
            <w:rPr>
              <w:sz w:val="14"/>
              <w:b/>
              <w:szCs w:val="14"/>
            </w:rPr>
            <w:fldChar w:fldCharType="separate"/>
          </w:r>
          <w:r>
            <w:rPr>
              <w:sz w:val="14"/>
              <w:b/>
              <w:szCs w:val="14"/>
            </w:rPr>
            <w:t>4</w:t>
          </w:r>
          <w:r>
            <w:rPr>
              <w:sz w:val="14"/>
              <w:b/>
              <w:szCs w:val="14"/>
            </w:rPr>
            <w:fldChar w:fldCharType="end"/>
          </w:r>
          <w:r>
            <w:rPr>
              <w:b/>
              <w:sz w:val="14"/>
              <w:szCs w:val="14"/>
            </w:rPr>
            <w:t xml:space="preserve"> </w:t>
          </w:r>
          <w:r>
            <w:rPr>
              <w:b/>
              <w:sz w:val="14"/>
              <w:szCs w:val="14"/>
            </w:rPr>
            <w:t xml:space="preserve">of </w:t>
          </w:r>
          <w:r>
            <w:rPr>
              <w:b/>
              <w:sz w:val="14"/>
              <w:szCs w:val="14"/>
            </w:rPr>
            <w:fldChar w:fldCharType="begin"/>
          </w:r>
          <w:r>
            <w:rPr>
              <w:sz w:val="14"/>
              <w:b/>
              <w:szCs w:val="14"/>
            </w:rPr>
            <w:instrText> NUMPAGES </w:instrText>
          </w:r>
          <w:r>
            <w:rPr>
              <w:sz w:val="14"/>
              <w:b/>
              <w:szCs w:val="14"/>
            </w:rPr>
            <w:fldChar w:fldCharType="separate"/>
          </w:r>
          <w:r>
            <w:rPr>
              <w:sz w:val="14"/>
              <w:b/>
              <w:szCs w:val="14"/>
            </w:rPr>
            <w:t>36</w:t>
          </w:r>
          <w:r>
            <w:rPr>
              <w:sz w:val="14"/>
              <w:b/>
              <w:szCs w:val="14"/>
            </w:rPr>
            <w:fldChar w:fldCharType="end"/>
          </w:r>
        </w:p>
      </w:tc>
      <w:tc>
        <w:tcPr>
          <w:tcW w:w="2997" w:type="dxa"/>
          <w:tcBorders/>
          <w:shd w:color="auto" w:fill="auto" w:val="clear"/>
          <w:vAlign w:val="center"/>
        </w:tcPr>
        <w:p>
          <w:pPr>
            <w:pStyle w:val="Normal"/>
            <w:widowControl w:val="false"/>
            <w:spacing w:before="0" w:after="60"/>
            <w:ind w:left="720" w:hanging="0"/>
            <w:jc w:val="right"/>
            <w:rPr>
              <w:b/>
              <w:b/>
              <w:color w:val="646B6E"/>
              <w:sz w:val="14"/>
              <w:szCs w:val="14"/>
            </w:rPr>
          </w:pPr>
          <w:r>
            <w:rPr>
              <w:color w:val="646B6E"/>
              <w:sz w:val="14"/>
              <w:szCs w:val="14"/>
            </w:rPr>
            <w:t>UNOPS 2011</w:t>
          </w:r>
        </w:p>
      </w:tc>
    </w:tr>
  </w:tbl>
  <w:p>
    <w:pPr>
      <w:pStyle w:val="Normal"/>
      <w:tabs>
        <w:tab w:val="clear" w:pos="720"/>
        <w:tab w:val="right" w:pos="8370" w:leader="none"/>
      </w:tabs>
      <w:spacing w:before="100" w:after="100"/>
      <w:rPr>
        <w:color w:val="000000"/>
      </w:rPr>
    </w:pPr>
    <w:r>
      <w:rPr>
        <w:color w:val="000000"/>
      </w:rPr>
      <w:tab/>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88" w:before="0" w:after="0"/>
      <w:jc w:val="both"/>
      <w:rPr>
        <w:rFonts w:ascii="Open Sans" w:hAnsi="Open Sans" w:eastAsia="Open Sans" w:cs="Open Sans"/>
        <w:b/>
        <w:b/>
        <w:sz w:val="14"/>
        <w:szCs w:val="14"/>
      </w:rPr>
    </w:pPr>
    <w:r>
      <w:rPr>
        <w:rFonts w:eastAsia="Open Sans" w:cs="Open Sans" w:ascii="Open Sans" w:hAnsi="Open Sans"/>
        <w:b/>
        <w:sz w:val="14"/>
        <w:szCs w:val="14"/>
      </w:rPr>
    </w:r>
  </w:p>
  <w:tbl>
    <w:tblPr>
      <w:tblStyle w:val="af4"/>
      <w:tblW w:w="9027" w:type="dxa"/>
      <w:jc w:val="center"/>
      <w:tblInd w:w="0" w:type="dxa"/>
      <w:tblLayout w:type="fixed"/>
      <w:tblCellMar>
        <w:top w:w="100" w:type="dxa"/>
        <w:left w:w="100" w:type="dxa"/>
        <w:bottom w:w="100" w:type="dxa"/>
        <w:right w:w="100" w:type="dxa"/>
      </w:tblCellMar>
      <w:tblLook w:firstRow="0" w:noVBand="1" w:lastRow="0" w:firstColumn="0" w:lastColumn="0" w:noHBand="1" w:val="0600"/>
    </w:tblPr>
    <w:tblGrid>
      <w:gridCol w:w="3180"/>
      <w:gridCol w:w="2850"/>
      <w:gridCol w:w="2997"/>
    </w:tblGrid>
    <w:tr>
      <w:trPr>
        <w:trHeight w:val="180" w:hRule="atLeast"/>
      </w:trPr>
      <w:tc>
        <w:tcPr>
          <w:tcW w:w="3180" w:type="dxa"/>
          <w:tcBorders/>
          <w:shd w:color="auto" w:fill="auto" w:val="clear"/>
          <w:vAlign w:val="center"/>
        </w:tcPr>
        <w:p>
          <w:pPr>
            <w:pStyle w:val="Normal"/>
            <w:widowControl w:val="false"/>
            <w:spacing w:lineRule="auto" w:line="288" w:before="0" w:after="0"/>
            <w:rPr>
              <w:color w:val="0092D1"/>
              <w:sz w:val="14"/>
              <w:szCs w:val="14"/>
            </w:rPr>
          </w:pPr>
          <w:r>
            <w:rPr>
              <w:color w:val="0092D1"/>
              <w:sz w:val="14"/>
              <w:szCs w:val="14"/>
            </w:rPr>
            <w:t>Invitation to Bid – Minor Works</w:t>
          </w:r>
        </w:p>
      </w:tc>
      <w:tc>
        <w:tcPr>
          <w:tcW w:w="2850" w:type="dxa"/>
          <w:tcBorders/>
          <w:shd w:color="auto" w:fill="auto" w:val="clear"/>
          <w:vAlign w:val="center"/>
        </w:tcPr>
        <w:p>
          <w:pPr>
            <w:pStyle w:val="Normal"/>
            <w:widowControl w:val="false"/>
            <w:spacing w:before="0" w:after="0"/>
            <w:jc w:val="center"/>
            <w:rPr>
              <w:b/>
              <w:b/>
              <w:sz w:val="14"/>
              <w:szCs w:val="14"/>
            </w:rPr>
          </w:pPr>
          <w:r>
            <w:rPr>
              <w:b/>
              <w:sz w:val="14"/>
              <w:szCs w:val="14"/>
            </w:rPr>
            <w:fldChar w:fldCharType="begin"/>
          </w:r>
          <w:r>
            <w:rPr>
              <w:sz w:val="14"/>
              <w:b/>
              <w:szCs w:val="14"/>
            </w:rPr>
            <w:instrText> PAGE </w:instrText>
          </w:r>
          <w:r>
            <w:rPr>
              <w:sz w:val="14"/>
              <w:b/>
              <w:szCs w:val="14"/>
            </w:rPr>
            <w:fldChar w:fldCharType="separate"/>
          </w:r>
          <w:r>
            <w:rPr>
              <w:sz w:val="14"/>
              <w:b/>
              <w:szCs w:val="14"/>
            </w:rPr>
            <w:t>6</w:t>
          </w:r>
          <w:r>
            <w:rPr>
              <w:sz w:val="14"/>
              <w:b/>
              <w:szCs w:val="14"/>
            </w:rPr>
            <w:fldChar w:fldCharType="end"/>
          </w:r>
          <w:r>
            <w:rPr>
              <w:b/>
              <w:sz w:val="14"/>
              <w:szCs w:val="14"/>
            </w:rPr>
            <w:t xml:space="preserve"> </w:t>
          </w:r>
          <w:r>
            <w:rPr>
              <w:b/>
              <w:sz w:val="14"/>
              <w:szCs w:val="14"/>
            </w:rPr>
            <w:t xml:space="preserve">of </w:t>
          </w:r>
          <w:r>
            <w:rPr>
              <w:b/>
              <w:sz w:val="14"/>
              <w:szCs w:val="14"/>
            </w:rPr>
            <w:fldChar w:fldCharType="begin"/>
          </w:r>
          <w:r>
            <w:rPr>
              <w:sz w:val="14"/>
              <w:b/>
              <w:szCs w:val="14"/>
            </w:rPr>
            <w:instrText> NUMPAGES </w:instrText>
          </w:r>
          <w:r>
            <w:rPr>
              <w:sz w:val="14"/>
              <w:b/>
              <w:szCs w:val="14"/>
            </w:rPr>
            <w:fldChar w:fldCharType="separate"/>
          </w:r>
          <w:r>
            <w:rPr>
              <w:sz w:val="14"/>
              <w:b/>
              <w:szCs w:val="14"/>
            </w:rPr>
            <w:t>36</w:t>
          </w:r>
          <w:r>
            <w:rPr>
              <w:sz w:val="14"/>
              <w:b/>
              <w:szCs w:val="14"/>
            </w:rPr>
            <w:fldChar w:fldCharType="end"/>
          </w:r>
        </w:p>
      </w:tc>
      <w:tc>
        <w:tcPr>
          <w:tcW w:w="2997" w:type="dxa"/>
          <w:tcBorders/>
          <w:shd w:color="auto" w:fill="auto" w:val="clear"/>
          <w:vAlign w:val="center"/>
        </w:tcPr>
        <w:p>
          <w:pPr>
            <w:pStyle w:val="Normal"/>
            <w:widowControl w:val="false"/>
            <w:spacing w:before="0" w:after="60"/>
            <w:ind w:left="720" w:hanging="0"/>
            <w:jc w:val="right"/>
            <w:rPr>
              <w:b/>
              <w:b/>
              <w:color w:val="646B6E"/>
              <w:sz w:val="14"/>
              <w:szCs w:val="14"/>
            </w:rPr>
          </w:pPr>
          <w:r>
            <w:rPr>
              <w:color w:val="646B6E"/>
              <w:sz w:val="14"/>
              <w:szCs w:val="14"/>
            </w:rPr>
            <w:t>UNOPS 2011</w:t>
          </w:r>
        </w:p>
      </w:tc>
    </w:tr>
  </w:tbl>
  <w:p>
    <w:pPr>
      <w:pStyle w:val="Normal"/>
      <w:tabs>
        <w:tab w:val="clear" w:pos="720"/>
        <w:tab w:val="right" w:pos="8370" w:leader="none"/>
      </w:tabs>
      <w:spacing w:before="100" w:after="100"/>
      <w:rPr>
        <w:color w:val="000000"/>
      </w:rPr>
    </w:pPr>
    <w:r>
      <w:rPr>
        <w:color w:val="000000"/>
      </w:rPr>
      <w:tab/>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88" w:before="0" w:after="0"/>
      <w:jc w:val="both"/>
      <w:rPr>
        <w:rFonts w:ascii="Open Sans" w:hAnsi="Open Sans" w:eastAsia="Open Sans" w:cs="Open Sans"/>
        <w:b/>
        <w:b/>
        <w:sz w:val="14"/>
        <w:szCs w:val="14"/>
      </w:rPr>
    </w:pPr>
    <w:r>
      <w:rPr>
        <w:rFonts w:eastAsia="Open Sans" w:cs="Open Sans" w:ascii="Open Sans" w:hAnsi="Open Sans"/>
        <w:b/>
        <w:sz w:val="14"/>
        <w:szCs w:val="14"/>
      </w:rPr>
    </w:r>
  </w:p>
  <w:tbl>
    <w:tblPr>
      <w:tblStyle w:val="af4"/>
      <w:tblW w:w="9027" w:type="dxa"/>
      <w:jc w:val="center"/>
      <w:tblInd w:w="0" w:type="dxa"/>
      <w:tblLayout w:type="fixed"/>
      <w:tblCellMar>
        <w:top w:w="100" w:type="dxa"/>
        <w:left w:w="100" w:type="dxa"/>
        <w:bottom w:w="100" w:type="dxa"/>
        <w:right w:w="100" w:type="dxa"/>
      </w:tblCellMar>
      <w:tblLook w:firstRow="0" w:noVBand="1" w:lastRow="0" w:firstColumn="0" w:lastColumn="0" w:noHBand="1" w:val="0600"/>
    </w:tblPr>
    <w:tblGrid>
      <w:gridCol w:w="3180"/>
      <w:gridCol w:w="2850"/>
      <w:gridCol w:w="2997"/>
    </w:tblGrid>
    <w:tr>
      <w:trPr>
        <w:trHeight w:val="180" w:hRule="atLeast"/>
      </w:trPr>
      <w:tc>
        <w:tcPr>
          <w:tcW w:w="3180" w:type="dxa"/>
          <w:tcBorders/>
          <w:shd w:color="auto" w:fill="auto" w:val="clear"/>
          <w:vAlign w:val="center"/>
        </w:tcPr>
        <w:p>
          <w:pPr>
            <w:pStyle w:val="Normal"/>
            <w:widowControl w:val="false"/>
            <w:spacing w:lineRule="auto" w:line="288" w:before="0" w:after="0"/>
            <w:rPr>
              <w:color w:val="0092D1"/>
              <w:sz w:val="14"/>
              <w:szCs w:val="14"/>
            </w:rPr>
          </w:pPr>
          <w:r>
            <w:rPr>
              <w:color w:val="0092D1"/>
              <w:sz w:val="14"/>
              <w:szCs w:val="14"/>
            </w:rPr>
            <w:t>Invitation to Bid – Minor Works</w:t>
          </w:r>
        </w:p>
      </w:tc>
      <w:tc>
        <w:tcPr>
          <w:tcW w:w="2850" w:type="dxa"/>
          <w:tcBorders/>
          <w:shd w:color="auto" w:fill="auto" w:val="clear"/>
          <w:vAlign w:val="center"/>
        </w:tcPr>
        <w:p>
          <w:pPr>
            <w:pStyle w:val="Normal"/>
            <w:widowControl w:val="false"/>
            <w:spacing w:before="0" w:after="0"/>
            <w:jc w:val="center"/>
            <w:rPr>
              <w:b/>
              <w:b/>
              <w:sz w:val="14"/>
              <w:szCs w:val="14"/>
            </w:rPr>
          </w:pPr>
          <w:r>
            <w:rPr>
              <w:b/>
              <w:sz w:val="14"/>
              <w:szCs w:val="14"/>
            </w:rPr>
            <w:fldChar w:fldCharType="begin"/>
          </w:r>
          <w:r>
            <w:rPr>
              <w:sz w:val="14"/>
              <w:b/>
              <w:szCs w:val="14"/>
            </w:rPr>
            <w:instrText> PAGE </w:instrText>
          </w:r>
          <w:r>
            <w:rPr>
              <w:sz w:val="14"/>
              <w:b/>
              <w:szCs w:val="14"/>
            </w:rPr>
            <w:fldChar w:fldCharType="separate"/>
          </w:r>
          <w:r>
            <w:rPr>
              <w:sz w:val="14"/>
              <w:b/>
              <w:szCs w:val="14"/>
            </w:rPr>
            <w:t>16</w:t>
          </w:r>
          <w:r>
            <w:rPr>
              <w:sz w:val="14"/>
              <w:b/>
              <w:szCs w:val="14"/>
            </w:rPr>
            <w:fldChar w:fldCharType="end"/>
          </w:r>
          <w:r>
            <w:rPr>
              <w:b/>
              <w:sz w:val="14"/>
              <w:szCs w:val="14"/>
            </w:rPr>
            <w:t xml:space="preserve"> </w:t>
          </w:r>
          <w:r>
            <w:rPr>
              <w:b/>
              <w:sz w:val="14"/>
              <w:szCs w:val="14"/>
            </w:rPr>
            <w:t xml:space="preserve">of </w:t>
          </w:r>
          <w:r>
            <w:rPr>
              <w:b/>
              <w:sz w:val="14"/>
              <w:szCs w:val="14"/>
            </w:rPr>
            <w:fldChar w:fldCharType="begin"/>
          </w:r>
          <w:r>
            <w:rPr>
              <w:sz w:val="14"/>
              <w:b/>
              <w:szCs w:val="14"/>
            </w:rPr>
            <w:instrText> NUMPAGES </w:instrText>
          </w:r>
          <w:r>
            <w:rPr>
              <w:sz w:val="14"/>
              <w:b/>
              <w:szCs w:val="14"/>
            </w:rPr>
            <w:fldChar w:fldCharType="separate"/>
          </w:r>
          <w:r>
            <w:rPr>
              <w:sz w:val="14"/>
              <w:b/>
              <w:szCs w:val="14"/>
            </w:rPr>
            <w:t>36</w:t>
          </w:r>
          <w:r>
            <w:rPr>
              <w:sz w:val="14"/>
              <w:b/>
              <w:szCs w:val="14"/>
            </w:rPr>
            <w:fldChar w:fldCharType="end"/>
          </w:r>
        </w:p>
      </w:tc>
      <w:tc>
        <w:tcPr>
          <w:tcW w:w="2997" w:type="dxa"/>
          <w:tcBorders/>
          <w:shd w:color="auto" w:fill="auto" w:val="clear"/>
          <w:vAlign w:val="center"/>
        </w:tcPr>
        <w:p>
          <w:pPr>
            <w:pStyle w:val="Normal"/>
            <w:widowControl w:val="false"/>
            <w:spacing w:before="0" w:after="60"/>
            <w:ind w:left="720" w:hanging="0"/>
            <w:jc w:val="right"/>
            <w:rPr>
              <w:b/>
              <w:b/>
              <w:color w:val="646B6E"/>
              <w:sz w:val="14"/>
              <w:szCs w:val="14"/>
            </w:rPr>
          </w:pPr>
          <w:r>
            <w:rPr>
              <w:color w:val="646B6E"/>
              <w:sz w:val="14"/>
              <w:szCs w:val="14"/>
            </w:rPr>
            <w:t>UNOPS 2011</w:t>
          </w:r>
        </w:p>
      </w:tc>
    </w:tr>
  </w:tbl>
  <w:p>
    <w:pPr>
      <w:pStyle w:val="Normal"/>
      <w:tabs>
        <w:tab w:val="clear" w:pos="720"/>
        <w:tab w:val="right" w:pos="8370" w:leader="none"/>
      </w:tabs>
      <w:spacing w:before="100" w:after="100"/>
      <w:rPr>
        <w:color w:val="000000"/>
      </w:rPr>
    </w:pPr>
    <w:r>
      <w:rPr>
        <w:color w:val="000000"/>
      </w:rPr>
      <w:tab/>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88" w:before="0" w:after="0"/>
      <w:jc w:val="both"/>
      <w:rPr>
        <w:rFonts w:ascii="Open Sans" w:hAnsi="Open Sans" w:eastAsia="Open Sans" w:cs="Open Sans"/>
        <w:b/>
        <w:b/>
        <w:sz w:val="14"/>
        <w:szCs w:val="14"/>
      </w:rPr>
    </w:pPr>
    <w:r>
      <w:rPr>
        <w:rFonts w:eastAsia="Open Sans" w:cs="Open Sans" w:ascii="Open Sans" w:hAnsi="Open Sans"/>
        <w:b/>
        <w:sz w:val="14"/>
        <w:szCs w:val="14"/>
      </w:rPr>
    </w:r>
  </w:p>
  <w:tbl>
    <w:tblPr>
      <w:tblStyle w:val="af4"/>
      <w:tblW w:w="9027" w:type="dxa"/>
      <w:jc w:val="center"/>
      <w:tblInd w:w="0" w:type="dxa"/>
      <w:tblLayout w:type="fixed"/>
      <w:tblCellMar>
        <w:top w:w="100" w:type="dxa"/>
        <w:left w:w="100" w:type="dxa"/>
        <w:bottom w:w="100" w:type="dxa"/>
        <w:right w:w="100" w:type="dxa"/>
      </w:tblCellMar>
      <w:tblLook w:firstRow="0" w:noVBand="1" w:lastRow="0" w:firstColumn="0" w:lastColumn="0" w:noHBand="1" w:val="0600"/>
    </w:tblPr>
    <w:tblGrid>
      <w:gridCol w:w="3180"/>
      <w:gridCol w:w="2850"/>
      <w:gridCol w:w="2997"/>
    </w:tblGrid>
    <w:tr>
      <w:trPr>
        <w:trHeight w:val="180" w:hRule="atLeast"/>
      </w:trPr>
      <w:tc>
        <w:tcPr>
          <w:tcW w:w="3180" w:type="dxa"/>
          <w:tcBorders/>
          <w:shd w:color="auto" w:fill="auto" w:val="clear"/>
          <w:vAlign w:val="center"/>
        </w:tcPr>
        <w:p>
          <w:pPr>
            <w:pStyle w:val="Normal"/>
            <w:widowControl w:val="false"/>
            <w:spacing w:lineRule="auto" w:line="288" w:before="0" w:after="0"/>
            <w:rPr>
              <w:color w:val="0092D1"/>
              <w:sz w:val="14"/>
              <w:szCs w:val="14"/>
            </w:rPr>
          </w:pPr>
          <w:r>
            <w:rPr>
              <w:color w:val="0092D1"/>
              <w:sz w:val="14"/>
              <w:szCs w:val="14"/>
            </w:rPr>
            <w:t>Invitation to Bid – Minor Works</w:t>
          </w:r>
        </w:p>
      </w:tc>
      <w:tc>
        <w:tcPr>
          <w:tcW w:w="2850" w:type="dxa"/>
          <w:tcBorders/>
          <w:shd w:color="auto" w:fill="auto" w:val="clear"/>
          <w:vAlign w:val="center"/>
        </w:tcPr>
        <w:p>
          <w:pPr>
            <w:pStyle w:val="Normal"/>
            <w:widowControl w:val="false"/>
            <w:spacing w:before="0" w:after="0"/>
            <w:jc w:val="center"/>
            <w:rPr>
              <w:b/>
              <w:b/>
              <w:sz w:val="14"/>
              <w:szCs w:val="14"/>
            </w:rPr>
          </w:pPr>
          <w:r>
            <w:rPr>
              <w:b/>
              <w:sz w:val="14"/>
              <w:szCs w:val="14"/>
            </w:rPr>
            <w:fldChar w:fldCharType="begin"/>
          </w:r>
          <w:r>
            <w:rPr>
              <w:sz w:val="14"/>
              <w:b/>
              <w:szCs w:val="14"/>
            </w:rPr>
            <w:instrText> PAGE </w:instrText>
          </w:r>
          <w:r>
            <w:rPr>
              <w:sz w:val="14"/>
              <w:b/>
              <w:szCs w:val="14"/>
            </w:rPr>
            <w:fldChar w:fldCharType="separate"/>
          </w:r>
          <w:r>
            <w:rPr>
              <w:sz w:val="14"/>
              <w:b/>
              <w:szCs w:val="14"/>
            </w:rPr>
            <w:t>19</w:t>
          </w:r>
          <w:r>
            <w:rPr>
              <w:sz w:val="14"/>
              <w:b/>
              <w:szCs w:val="14"/>
            </w:rPr>
            <w:fldChar w:fldCharType="end"/>
          </w:r>
          <w:r>
            <w:rPr>
              <w:b/>
              <w:sz w:val="14"/>
              <w:szCs w:val="14"/>
            </w:rPr>
            <w:t xml:space="preserve"> </w:t>
          </w:r>
          <w:r>
            <w:rPr>
              <w:b/>
              <w:sz w:val="14"/>
              <w:szCs w:val="14"/>
            </w:rPr>
            <w:t xml:space="preserve">of </w:t>
          </w:r>
          <w:r>
            <w:rPr>
              <w:b/>
              <w:sz w:val="14"/>
              <w:szCs w:val="14"/>
            </w:rPr>
            <w:fldChar w:fldCharType="begin"/>
          </w:r>
          <w:r>
            <w:rPr>
              <w:sz w:val="14"/>
              <w:b/>
              <w:szCs w:val="14"/>
            </w:rPr>
            <w:instrText> NUMPAGES </w:instrText>
          </w:r>
          <w:r>
            <w:rPr>
              <w:sz w:val="14"/>
              <w:b/>
              <w:szCs w:val="14"/>
            </w:rPr>
            <w:fldChar w:fldCharType="separate"/>
          </w:r>
          <w:r>
            <w:rPr>
              <w:sz w:val="14"/>
              <w:b/>
              <w:szCs w:val="14"/>
            </w:rPr>
            <w:t>36</w:t>
          </w:r>
          <w:r>
            <w:rPr>
              <w:sz w:val="14"/>
              <w:b/>
              <w:szCs w:val="14"/>
            </w:rPr>
            <w:fldChar w:fldCharType="end"/>
          </w:r>
        </w:p>
      </w:tc>
      <w:tc>
        <w:tcPr>
          <w:tcW w:w="2997" w:type="dxa"/>
          <w:tcBorders/>
          <w:shd w:color="auto" w:fill="auto" w:val="clear"/>
          <w:vAlign w:val="center"/>
        </w:tcPr>
        <w:p>
          <w:pPr>
            <w:pStyle w:val="Normal"/>
            <w:widowControl w:val="false"/>
            <w:spacing w:before="0" w:after="60"/>
            <w:ind w:left="720" w:hanging="0"/>
            <w:jc w:val="right"/>
            <w:rPr>
              <w:b/>
              <w:b/>
              <w:color w:val="646B6E"/>
              <w:sz w:val="14"/>
              <w:szCs w:val="14"/>
            </w:rPr>
          </w:pPr>
          <w:r>
            <w:rPr>
              <w:color w:val="646B6E"/>
              <w:sz w:val="14"/>
              <w:szCs w:val="14"/>
            </w:rPr>
            <w:t>UNOPS 2011</w:t>
          </w:r>
        </w:p>
      </w:tc>
    </w:tr>
  </w:tbl>
  <w:p>
    <w:pPr>
      <w:pStyle w:val="Normal"/>
      <w:tabs>
        <w:tab w:val="clear" w:pos="720"/>
        <w:tab w:val="right" w:pos="8370" w:leader="none"/>
      </w:tabs>
      <w:spacing w:before="100" w:after="100"/>
      <w:rPr>
        <w:color w:val="000000"/>
      </w:rPr>
    </w:pPr>
    <w:r>
      <w:rPr>
        <w:color w:val="000000"/>
      </w:rPr>
      <w:tab/>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88" w:before="0" w:after="0"/>
      <w:jc w:val="both"/>
      <w:rPr>
        <w:rFonts w:ascii="Open Sans" w:hAnsi="Open Sans" w:eastAsia="Open Sans" w:cs="Open Sans"/>
        <w:b/>
        <w:b/>
        <w:sz w:val="14"/>
        <w:szCs w:val="14"/>
      </w:rPr>
    </w:pPr>
    <w:r>
      <w:rPr>
        <w:rFonts w:eastAsia="Open Sans" w:cs="Open Sans" w:ascii="Open Sans" w:hAnsi="Open Sans"/>
        <w:b/>
        <w:sz w:val="14"/>
        <w:szCs w:val="14"/>
      </w:rPr>
    </w:r>
  </w:p>
  <w:tbl>
    <w:tblPr>
      <w:tblStyle w:val="af4"/>
      <w:tblW w:w="9027" w:type="dxa"/>
      <w:jc w:val="center"/>
      <w:tblInd w:w="0" w:type="dxa"/>
      <w:tblLayout w:type="fixed"/>
      <w:tblCellMar>
        <w:top w:w="100" w:type="dxa"/>
        <w:left w:w="100" w:type="dxa"/>
        <w:bottom w:w="100" w:type="dxa"/>
        <w:right w:w="100" w:type="dxa"/>
      </w:tblCellMar>
      <w:tblLook w:firstRow="0" w:noVBand="1" w:lastRow="0" w:firstColumn="0" w:lastColumn="0" w:noHBand="1" w:val="0600"/>
    </w:tblPr>
    <w:tblGrid>
      <w:gridCol w:w="3180"/>
      <w:gridCol w:w="2850"/>
      <w:gridCol w:w="2997"/>
    </w:tblGrid>
    <w:tr>
      <w:trPr>
        <w:trHeight w:val="180" w:hRule="atLeast"/>
      </w:trPr>
      <w:tc>
        <w:tcPr>
          <w:tcW w:w="3180" w:type="dxa"/>
          <w:tcBorders/>
          <w:shd w:color="auto" w:fill="auto" w:val="clear"/>
          <w:vAlign w:val="center"/>
        </w:tcPr>
        <w:p>
          <w:pPr>
            <w:pStyle w:val="Normal"/>
            <w:widowControl w:val="false"/>
            <w:spacing w:lineRule="auto" w:line="288" w:before="0" w:after="0"/>
            <w:rPr>
              <w:color w:val="0092D1"/>
              <w:sz w:val="14"/>
              <w:szCs w:val="14"/>
            </w:rPr>
          </w:pPr>
          <w:r>
            <w:rPr>
              <w:color w:val="0092D1"/>
              <w:sz w:val="14"/>
              <w:szCs w:val="14"/>
            </w:rPr>
            <w:t>Invitation to Bid – Minor Works</w:t>
          </w:r>
        </w:p>
      </w:tc>
      <w:tc>
        <w:tcPr>
          <w:tcW w:w="2850" w:type="dxa"/>
          <w:tcBorders/>
          <w:shd w:color="auto" w:fill="auto" w:val="clear"/>
          <w:vAlign w:val="center"/>
        </w:tcPr>
        <w:p>
          <w:pPr>
            <w:pStyle w:val="Normal"/>
            <w:widowControl w:val="false"/>
            <w:spacing w:before="0" w:after="0"/>
            <w:jc w:val="center"/>
            <w:rPr>
              <w:b/>
              <w:b/>
              <w:sz w:val="14"/>
              <w:szCs w:val="14"/>
            </w:rPr>
          </w:pPr>
          <w:r>
            <w:rPr>
              <w:b/>
              <w:sz w:val="14"/>
              <w:szCs w:val="14"/>
            </w:rPr>
            <w:fldChar w:fldCharType="begin"/>
          </w:r>
          <w:r>
            <w:rPr>
              <w:sz w:val="14"/>
              <w:b/>
              <w:szCs w:val="14"/>
            </w:rPr>
            <w:instrText> PAGE </w:instrText>
          </w:r>
          <w:r>
            <w:rPr>
              <w:sz w:val="14"/>
              <w:b/>
              <w:szCs w:val="14"/>
            </w:rPr>
            <w:fldChar w:fldCharType="separate"/>
          </w:r>
          <w:r>
            <w:rPr>
              <w:sz w:val="14"/>
              <w:b/>
              <w:szCs w:val="14"/>
            </w:rPr>
            <w:t>27</w:t>
          </w:r>
          <w:r>
            <w:rPr>
              <w:sz w:val="14"/>
              <w:b/>
              <w:szCs w:val="14"/>
            </w:rPr>
            <w:fldChar w:fldCharType="end"/>
          </w:r>
          <w:r>
            <w:rPr>
              <w:b/>
              <w:sz w:val="14"/>
              <w:szCs w:val="14"/>
            </w:rPr>
            <w:t xml:space="preserve"> </w:t>
          </w:r>
          <w:r>
            <w:rPr>
              <w:b/>
              <w:sz w:val="14"/>
              <w:szCs w:val="14"/>
            </w:rPr>
            <w:t xml:space="preserve">of </w:t>
          </w:r>
          <w:r>
            <w:rPr>
              <w:b/>
              <w:sz w:val="14"/>
              <w:szCs w:val="14"/>
            </w:rPr>
            <w:fldChar w:fldCharType="begin"/>
          </w:r>
          <w:r>
            <w:rPr>
              <w:sz w:val="14"/>
              <w:b/>
              <w:szCs w:val="14"/>
            </w:rPr>
            <w:instrText> NUMPAGES </w:instrText>
          </w:r>
          <w:r>
            <w:rPr>
              <w:sz w:val="14"/>
              <w:b/>
              <w:szCs w:val="14"/>
            </w:rPr>
            <w:fldChar w:fldCharType="separate"/>
          </w:r>
          <w:r>
            <w:rPr>
              <w:sz w:val="14"/>
              <w:b/>
              <w:szCs w:val="14"/>
            </w:rPr>
            <w:t>36</w:t>
          </w:r>
          <w:r>
            <w:rPr>
              <w:sz w:val="14"/>
              <w:b/>
              <w:szCs w:val="14"/>
            </w:rPr>
            <w:fldChar w:fldCharType="end"/>
          </w:r>
        </w:p>
      </w:tc>
      <w:tc>
        <w:tcPr>
          <w:tcW w:w="2997" w:type="dxa"/>
          <w:tcBorders/>
          <w:shd w:color="auto" w:fill="auto" w:val="clear"/>
          <w:vAlign w:val="center"/>
        </w:tcPr>
        <w:p>
          <w:pPr>
            <w:pStyle w:val="Normal"/>
            <w:widowControl w:val="false"/>
            <w:spacing w:before="0" w:after="60"/>
            <w:ind w:left="720" w:hanging="0"/>
            <w:jc w:val="right"/>
            <w:rPr>
              <w:b/>
              <w:b/>
              <w:color w:val="646B6E"/>
              <w:sz w:val="14"/>
              <w:szCs w:val="14"/>
            </w:rPr>
          </w:pPr>
          <w:r>
            <w:rPr>
              <w:color w:val="646B6E"/>
              <w:sz w:val="14"/>
              <w:szCs w:val="14"/>
            </w:rPr>
            <w:t>UNOPS 2011</w:t>
          </w:r>
        </w:p>
      </w:tc>
    </w:tr>
  </w:tbl>
  <w:p>
    <w:pPr>
      <w:pStyle w:val="Normal"/>
      <w:tabs>
        <w:tab w:val="clear" w:pos="720"/>
        <w:tab w:val="right" w:pos="8370" w:leader="none"/>
      </w:tabs>
      <w:spacing w:before="100" w:after="100"/>
      <w:rPr>
        <w:color w:val="000000"/>
      </w:rPr>
    </w:pPr>
    <w:r>
      <w:rPr>
        <w:color w:val="000000"/>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20"/>
        <w:tab w:val="center" w:pos="4680" w:leader="none"/>
        <w:tab w:val="right" w:pos="9360" w:leader="none"/>
      </w:tabs>
      <w:spacing w:before="100" w:after="100"/>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100" w:after="100"/>
      <w:rPr>
        <w:sz w:val="2"/>
        <w:szCs w:val="2"/>
      </w:rPr>
    </w:pPr>
    <w:r>
      <w:rPr>
        <w:sz w:val="2"/>
        <w:szCs w:val="2"/>
      </w:rPr>
      <w:drawing>
        <wp:anchor behindDoc="1" distT="0" distB="0" distL="0" distR="0" simplePos="0" locked="0" layoutInCell="0" allowOverlap="1" relativeHeight="3">
          <wp:simplePos x="0" y="0"/>
          <wp:positionH relativeFrom="column">
            <wp:posOffset>0</wp:posOffset>
          </wp:positionH>
          <wp:positionV relativeFrom="paragraph">
            <wp:posOffset>635</wp:posOffset>
          </wp:positionV>
          <wp:extent cx="1522095" cy="1899920"/>
          <wp:effectExtent l="0" t="0" r="0" b="0"/>
          <wp:wrapTopAndBottom/>
          <wp:docPr id="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descr=""/>
                  <pic:cNvPicPr>
                    <a:picLocks noChangeAspect="1" noChangeArrowheads="1"/>
                  </pic:cNvPicPr>
                </pic:nvPicPr>
                <pic:blipFill>
                  <a:blip r:embed="rId1"/>
                  <a:srcRect l="0" t="23265" r="0" b="-1575"/>
                  <a:stretch>
                    <a:fillRect/>
                  </a:stretch>
                </pic:blipFill>
                <pic:spPr bwMode="auto">
                  <a:xfrm>
                    <a:off x="0" y="0"/>
                    <a:ext cx="1522095" cy="1899920"/>
                  </a:xfrm>
                  <a:prstGeom prst="rect">
                    <a:avLst/>
                  </a:prstGeom>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0" w:after="60"/>
      <w:jc w:val="right"/>
      <w:rPr>
        <w:color w:val="0092D1"/>
        <w:sz w:val="20"/>
        <w:szCs w:val="20"/>
      </w:rPr>
    </w:pPr>
    <w:r>
      <w:rPr>
        <w:color w:val="0092D1"/>
        <w:sz w:val="20"/>
        <w:szCs w:val="20"/>
      </w:rPr>
      <w:drawing>
        <wp:anchor behindDoc="1" distT="0" distB="0" distL="0" distR="0" simplePos="0" locked="0" layoutInCell="0" allowOverlap="1" relativeHeight="5">
          <wp:simplePos x="0" y="0"/>
          <wp:positionH relativeFrom="column">
            <wp:posOffset>0</wp:posOffset>
          </wp:positionH>
          <wp:positionV relativeFrom="paragraph">
            <wp:posOffset>123825</wp:posOffset>
          </wp:positionV>
          <wp:extent cx="1511935" cy="225425"/>
          <wp:effectExtent l="0" t="0" r="0" b="0"/>
          <wp:wrapSquare wrapText="bothSides"/>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1511935" cy="225425"/>
                  </a:xfrm>
                  <a:prstGeom prst="rect">
                    <a:avLst/>
                  </a:prstGeom>
                </pic:spPr>
              </pic:pic>
            </a:graphicData>
          </a:graphic>
        </wp:anchor>
      </w:drawing>
    </w:r>
  </w:p>
  <w:p>
    <w:pPr>
      <w:pStyle w:val="Normal"/>
      <w:spacing w:before="0" w:after="60"/>
      <w:jc w:val="right"/>
      <w:rPr/>
    </w:pPr>
    <w:r>
      <w:rPr>
        <w:color w:val="0092D1"/>
        <w:sz w:val="20"/>
        <w:szCs w:val="20"/>
      </w:rPr>
      <w:t>Case No. ITB/2020/1</w:t>
    </w:r>
    <w:r>
      <w:rPr>
        <w:color w:val="0092D1"/>
        <w:sz w:val="20"/>
        <w:szCs w:val="20"/>
        <w:lang w:val="ru-RU"/>
      </w:rPr>
      <w:t>6308</w:t>
    </w:r>
  </w:p>
  <w:p>
    <w:pPr>
      <w:pStyle w:val="Normal"/>
      <w:tabs>
        <w:tab w:val="clear" w:pos="720"/>
        <w:tab w:val="center" w:pos="4680" w:leader="none"/>
        <w:tab w:val="right" w:pos="9360" w:leader="none"/>
      </w:tabs>
      <w:spacing w:before="100" w:after="10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0" w:after="60"/>
      <w:jc w:val="right"/>
      <w:rPr>
        <w:color w:val="0092D1"/>
        <w:sz w:val="20"/>
        <w:szCs w:val="20"/>
      </w:rPr>
    </w:pPr>
    <w:r>
      <w:rPr>
        <w:color w:val="0092D1"/>
        <w:sz w:val="20"/>
        <w:szCs w:val="20"/>
      </w:rPr>
      <w:drawing>
        <wp:anchor behindDoc="1" distT="0" distB="0" distL="0" distR="0" simplePos="0" locked="0" layoutInCell="0" allowOverlap="1" relativeHeight="8">
          <wp:simplePos x="0" y="0"/>
          <wp:positionH relativeFrom="column">
            <wp:posOffset>0</wp:posOffset>
          </wp:positionH>
          <wp:positionV relativeFrom="paragraph">
            <wp:posOffset>123825</wp:posOffset>
          </wp:positionV>
          <wp:extent cx="1511935" cy="225425"/>
          <wp:effectExtent l="0" t="0" r="0" b="0"/>
          <wp:wrapSquare wrapText="bothSides"/>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tretch>
                    <a:fillRect/>
                  </a:stretch>
                </pic:blipFill>
                <pic:spPr bwMode="auto">
                  <a:xfrm>
                    <a:off x="0" y="0"/>
                    <a:ext cx="1511935" cy="225425"/>
                  </a:xfrm>
                  <a:prstGeom prst="rect">
                    <a:avLst/>
                  </a:prstGeom>
                </pic:spPr>
              </pic:pic>
            </a:graphicData>
          </a:graphic>
        </wp:anchor>
      </w:drawing>
    </w:r>
  </w:p>
  <w:p>
    <w:pPr>
      <w:pStyle w:val="Normal"/>
      <w:spacing w:before="0" w:after="60"/>
      <w:jc w:val="right"/>
      <w:rPr/>
    </w:pPr>
    <w:r>
      <w:rPr>
        <w:color w:val="0092D1"/>
        <w:sz w:val="20"/>
        <w:szCs w:val="20"/>
      </w:rPr>
      <w:t>Case No. ITB/2020/16308</w:t>
    </w:r>
  </w:p>
  <w:p>
    <w:pPr>
      <w:pStyle w:val="Normal"/>
      <w:tabs>
        <w:tab w:val="clear" w:pos="720"/>
        <w:tab w:val="center" w:pos="4680" w:leader="none"/>
        <w:tab w:val="right" w:pos="9360" w:leader="none"/>
      </w:tabs>
      <w:spacing w:before="100" w:after="10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0" w:after="60"/>
      <w:jc w:val="right"/>
      <w:rPr>
        <w:color w:val="0092D1"/>
        <w:sz w:val="20"/>
        <w:szCs w:val="20"/>
      </w:rPr>
    </w:pPr>
    <w:r>
      <w:rPr>
        <w:color w:val="0092D1"/>
        <w:sz w:val="20"/>
        <w:szCs w:val="20"/>
      </w:rPr>
      <w:drawing>
        <wp:anchor behindDoc="1" distT="0" distB="0" distL="0" distR="0" simplePos="0" locked="0" layoutInCell="0" allowOverlap="1" relativeHeight="7">
          <wp:simplePos x="0" y="0"/>
          <wp:positionH relativeFrom="column">
            <wp:posOffset>0</wp:posOffset>
          </wp:positionH>
          <wp:positionV relativeFrom="paragraph">
            <wp:posOffset>123825</wp:posOffset>
          </wp:positionV>
          <wp:extent cx="1511935" cy="225425"/>
          <wp:effectExtent l="0" t="0" r="0" b="0"/>
          <wp:wrapSquare wrapText="bothSides"/>
          <wp:docPr id="4"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descr=""/>
                  <pic:cNvPicPr>
                    <a:picLocks noChangeAspect="1" noChangeArrowheads="1"/>
                  </pic:cNvPicPr>
                </pic:nvPicPr>
                <pic:blipFill>
                  <a:blip r:embed="rId1"/>
                  <a:stretch>
                    <a:fillRect/>
                  </a:stretch>
                </pic:blipFill>
                <pic:spPr bwMode="auto">
                  <a:xfrm>
                    <a:off x="0" y="0"/>
                    <a:ext cx="1511935" cy="225425"/>
                  </a:xfrm>
                  <a:prstGeom prst="rect">
                    <a:avLst/>
                  </a:prstGeom>
                </pic:spPr>
              </pic:pic>
            </a:graphicData>
          </a:graphic>
        </wp:anchor>
      </w:drawing>
    </w:r>
  </w:p>
  <w:p>
    <w:pPr>
      <w:pStyle w:val="Normal"/>
      <w:spacing w:before="0" w:after="60"/>
      <w:jc w:val="right"/>
      <w:rPr/>
    </w:pPr>
    <w:r>
      <w:rPr>
        <w:color w:val="0092D1"/>
        <w:sz w:val="20"/>
        <w:szCs w:val="20"/>
      </w:rPr>
      <w:t>Case No. ITB/2020/16308</w:t>
    </w:r>
  </w:p>
  <w:p>
    <w:pPr>
      <w:pStyle w:val="Normal"/>
      <w:tabs>
        <w:tab w:val="clear" w:pos="720"/>
        <w:tab w:val="center" w:pos="4680" w:leader="none"/>
        <w:tab w:val="right" w:pos="9360" w:leader="none"/>
      </w:tabs>
      <w:spacing w:before="100" w:after="10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0" w:after="60"/>
      <w:jc w:val="right"/>
      <w:rPr>
        <w:color w:val="0092D1"/>
        <w:sz w:val="20"/>
        <w:szCs w:val="20"/>
      </w:rPr>
    </w:pPr>
    <w:r>
      <w:rPr>
        <w:color w:val="0092D1"/>
        <w:sz w:val="20"/>
        <w:szCs w:val="20"/>
      </w:rPr>
      <w:drawing>
        <wp:anchor behindDoc="1" distT="0" distB="0" distL="0" distR="0" simplePos="0" locked="0" layoutInCell="0" allowOverlap="1" relativeHeight="38">
          <wp:simplePos x="0" y="0"/>
          <wp:positionH relativeFrom="column">
            <wp:posOffset>0</wp:posOffset>
          </wp:positionH>
          <wp:positionV relativeFrom="paragraph">
            <wp:posOffset>123825</wp:posOffset>
          </wp:positionV>
          <wp:extent cx="1511935" cy="225425"/>
          <wp:effectExtent l="0" t="0" r="0" b="0"/>
          <wp:wrapSquare wrapText="bothSides"/>
          <wp:docPr id="5"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descr=""/>
                  <pic:cNvPicPr>
                    <a:picLocks noChangeAspect="1" noChangeArrowheads="1"/>
                  </pic:cNvPicPr>
                </pic:nvPicPr>
                <pic:blipFill>
                  <a:blip r:embed="rId1"/>
                  <a:stretch>
                    <a:fillRect/>
                  </a:stretch>
                </pic:blipFill>
                <pic:spPr bwMode="auto">
                  <a:xfrm>
                    <a:off x="0" y="0"/>
                    <a:ext cx="1511935" cy="225425"/>
                  </a:xfrm>
                  <a:prstGeom prst="rect">
                    <a:avLst/>
                  </a:prstGeom>
                </pic:spPr>
              </pic:pic>
            </a:graphicData>
          </a:graphic>
        </wp:anchor>
      </w:drawing>
    </w:r>
  </w:p>
  <w:p>
    <w:pPr>
      <w:pStyle w:val="Normal"/>
      <w:spacing w:before="0" w:after="60"/>
      <w:jc w:val="right"/>
      <w:rPr/>
    </w:pPr>
    <w:r>
      <w:rPr>
        <w:color w:val="0092D1"/>
        <w:sz w:val="20"/>
        <w:szCs w:val="20"/>
      </w:rPr>
      <w:t>Case No. ITB/2020/16308</w:t>
    </w:r>
  </w:p>
  <w:p>
    <w:pPr>
      <w:pStyle w:val="Normal"/>
      <w:tabs>
        <w:tab w:val="clear" w:pos="720"/>
        <w:tab w:val="center" w:pos="4680" w:leader="none"/>
        <w:tab w:val="right" w:pos="9360" w:leader="none"/>
      </w:tabs>
      <w:spacing w:before="100" w:after="10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0" w:after="60"/>
      <w:jc w:val="right"/>
      <w:rPr>
        <w:color w:val="0092D1"/>
        <w:sz w:val="20"/>
        <w:szCs w:val="20"/>
      </w:rPr>
    </w:pPr>
    <w:r>
      <w:rPr>
        <w:color w:val="0092D1"/>
        <w:sz w:val="20"/>
        <w:szCs w:val="20"/>
      </w:rPr>
      <w:drawing>
        <wp:anchor behindDoc="1" distT="0" distB="0" distL="0" distR="0" simplePos="0" locked="0" layoutInCell="0" allowOverlap="1" relativeHeight="28">
          <wp:simplePos x="0" y="0"/>
          <wp:positionH relativeFrom="column">
            <wp:posOffset>0</wp:posOffset>
          </wp:positionH>
          <wp:positionV relativeFrom="paragraph">
            <wp:posOffset>123825</wp:posOffset>
          </wp:positionV>
          <wp:extent cx="1511935" cy="225425"/>
          <wp:effectExtent l="0" t="0" r="0" b="0"/>
          <wp:wrapSquare wrapText="bothSides"/>
          <wp:docPr id="6"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descr=""/>
                  <pic:cNvPicPr>
                    <a:picLocks noChangeAspect="1" noChangeArrowheads="1"/>
                  </pic:cNvPicPr>
                </pic:nvPicPr>
                <pic:blipFill>
                  <a:blip r:embed="rId1"/>
                  <a:stretch>
                    <a:fillRect/>
                  </a:stretch>
                </pic:blipFill>
                <pic:spPr bwMode="auto">
                  <a:xfrm>
                    <a:off x="0" y="0"/>
                    <a:ext cx="1511935" cy="225425"/>
                  </a:xfrm>
                  <a:prstGeom prst="rect">
                    <a:avLst/>
                  </a:prstGeom>
                </pic:spPr>
              </pic:pic>
            </a:graphicData>
          </a:graphic>
        </wp:anchor>
      </w:drawing>
    </w:r>
  </w:p>
  <w:p>
    <w:pPr>
      <w:pStyle w:val="Normal"/>
      <w:spacing w:before="0" w:after="60"/>
      <w:jc w:val="right"/>
      <w:rPr/>
    </w:pPr>
    <w:r>
      <w:rPr>
        <w:color w:val="0092D1"/>
        <w:sz w:val="20"/>
        <w:szCs w:val="20"/>
      </w:rPr>
      <w:t>Case No. ITB/2020/16308</w:t>
    </w:r>
  </w:p>
  <w:p>
    <w:pPr>
      <w:pStyle w:val="Normal"/>
      <w:tabs>
        <w:tab w:val="clear" w:pos="720"/>
        <w:tab w:val="center" w:pos="4680" w:leader="none"/>
        <w:tab w:val="right" w:pos="9360" w:leader="none"/>
      </w:tabs>
      <w:spacing w:before="100" w:after="100"/>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before="0" w:after="60"/>
      <w:jc w:val="right"/>
      <w:rPr>
        <w:color w:val="0092D1"/>
        <w:sz w:val="20"/>
        <w:szCs w:val="20"/>
      </w:rPr>
    </w:pPr>
    <w:r>
      <w:rPr>
        <w:color w:val="0092D1"/>
        <w:sz w:val="20"/>
        <w:szCs w:val="20"/>
      </w:rPr>
      <w:drawing>
        <wp:anchor behindDoc="1" distT="0" distB="0" distL="0" distR="0" simplePos="0" locked="0" layoutInCell="0" allowOverlap="1" relativeHeight="23">
          <wp:simplePos x="0" y="0"/>
          <wp:positionH relativeFrom="column">
            <wp:posOffset>0</wp:posOffset>
          </wp:positionH>
          <wp:positionV relativeFrom="paragraph">
            <wp:posOffset>123825</wp:posOffset>
          </wp:positionV>
          <wp:extent cx="1511935" cy="225425"/>
          <wp:effectExtent l="0" t="0" r="0" b="0"/>
          <wp:wrapSquare wrapText="bothSides"/>
          <wp:docPr id="9"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 descr=""/>
                  <pic:cNvPicPr>
                    <a:picLocks noChangeAspect="1" noChangeArrowheads="1"/>
                  </pic:cNvPicPr>
                </pic:nvPicPr>
                <pic:blipFill>
                  <a:blip r:embed="rId1"/>
                  <a:stretch>
                    <a:fillRect/>
                  </a:stretch>
                </pic:blipFill>
                <pic:spPr bwMode="auto">
                  <a:xfrm>
                    <a:off x="0" y="0"/>
                    <a:ext cx="1511935" cy="225425"/>
                  </a:xfrm>
                  <a:prstGeom prst="rect">
                    <a:avLst/>
                  </a:prstGeom>
                </pic:spPr>
              </pic:pic>
            </a:graphicData>
          </a:graphic>
        </wp:anchor>
      </w:drawing>
    </w:r>
  </w:p>
  <w:p>
    <w:pPr>
      <w:pStyle w:val="Normal"/>
      <w:spacing w:before="0" w:after="60"/>
      <w:jc w:val="right"/>
      <w:rPr/>
    </w:pPr>
    <w:r>
      <w:rPr>
        <w:color w:val="0092D1"/>
        <w:sz w:val="20"/>
        <w:szCs w:val="20"/>
      </w:rPr>
      <w:t>Case No. ITB/2020/16308</w:t>
    </w:r>
  </w:p>
  <w:p>
    <w:pPr>
      <w:pStyle w:val="Normal"/>
      <w:tabs>
        <w:tab w:val="clear" w:pos="720"/>
        <w:tab w:val="center" w:pos="4680" w:leader="none"/>
        <w:tab w:val="right" w:pos="9360" w:leader="none"/>
      </w:tabs>
      <w:spacing w:before="100" w:after="1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Roman"/>
      <w:lvlText w:val="(%1)"/>
      <w:lvlJc w:val="left"/>
      <w:pPr>
        <w:tabs>
          <w:tab w:val="num" w:pos="0"/>
        </w:tabs>
        <w:ind w:left="1080" w:hanging="360"/>
      </w:pPr>
      <w:rPr>
        <w:i w:val="false"/>
        <w:rFonts w:ascii="Times New Roman" w:hAnsi="Times New Roman" w:eastAsia="Times New Roman" w:cs="Times New Roman"/>
        <w:color w:val="000000"/>
      </w:rPr>
    </w:lvl>
    <w:lvl w:ilvl="1">
      <w:start w:val="1"/>
      <w:numFmt w:val="bullet"/>
      <w:lvlText w:val="●"/>
      <w:lvlJc w:val="left"/>
      <w:pPr>
        <w:tabs>
          <w:tab w:val="num" w:pos="0"/>
        </w:tabs>
        <w:ind w:left="1800" w:hanging="360"/>
      </w:pPr>
      <w:rPr>
        <w:rFonts w:ascii="Noto Sans Symbols" w:hAnsi="Noto Sans Symbols" w:cs="Noto Sans Symbols"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2">
    <w:lvl w:ilvl="0">
      <w:start w:val="1"/>
      <w:numFmt w:val="lowerRoman"/>
      <w:lvlText w:val="(%1)"/>
      <w:lvlJc w:val="left"/>
      <w:pPr>
        <w:tabs>
          <w:tab w:val="num" w:pos="0"/>
        </w:tabs>
        <w:ind w:left="720" w:hanging="360"/>
      </w:pPr>
      <w:rPr>
        <w:rFonts w:ascii="Arial" w:hAnsi="Arial" w:eastAsia="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720" w:hanging="72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320" w:hanging="720"/>
      </w:pPr>
    </w:lvl>
    <w:lvl w:ilvl="6">
      <w:start w:val="1"/>
      <w:numFmt w:val="decimal"/>
      <w:lvlText w:val="%1.%2.%3.%4.%5.%6.%7"/>
      <w:lvlJc w:val="left"/>
      <w:pPr>
        <w:tabs>
          <w:tab w:val="num" w:pos="0"/>
        </w:tabs>
        <w:ind w:left="5040" w:hanging="720"/>
      </w:pPr>
    </w:lvl>
    <w:lvl w:ilvl="7">
      <w:start w:val="1"/>
      <w:numFmt w:val="decimal"/>
      <w:lvlText w:val="%1.%2.%3.%4.%5.%6.%7.%8"/>
      <w:lvlJc w:val="left"/>
      <w:pPr>
        <w:tabs>
          <w:tab w:val="num" w:pos="0"/>
        </w:tabs>
        <w:ind w:left="5760" w:hanging="720"/>
      </w:pPr>
    </w:lvl>
    <w:lvl w:ilvl="8">
      <w:start w:val="1"/>
      <w:numFmt w:val="decimal"/>
      <w:lvlText w:val="%1.%2.%3.%4.%5.%6.%7.%8.%9"/>
      <w:lvlJc w:val="left"/>
      <w:pPr>
        <w:tabs>
          <w:tab w:val="num" w:pos="0"/>
        </w:tabs>
        <w:ind w:left="6480" w:hanging="720"/>
      </w:pPr>
    </w:lvl>
  </w:abstractNum>
  <w:abstractNum w:abstractNumId="4">
    <w:lvl w:ilvl="0">
      <w:start w:val="1"/>
      <w:numFmt w:val="lowerRoman"/>
      <w:lvlText w:val="(%1)"/>
      <w:lvlJc w:val="left"/>
      <w:pPr>
        <w:tabs>
          <w:tab w:val="num" w:pos="0"/>
        </w:tabs>
        <w:ind w:left="1080" w:hanging="360"/>
      </w:pPr>
      <w:rPr>
        <w:rFonts w:ascii="Arial" w:hAnsi="Arial" w:eastAsia="Arial" w:cs="Arial"/>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Noto Sans Symbols" w:hAnsi="Noto Sans Symbols" w:cs="Noto Sans Symbols" w:hint="default"/>
      </w:rPr>
    </w:lvl>
    <w:lvl w:ilvl="3">
      <w:start w:val="1"/>
      <w:numFmt w:val="bullet"/>
      <w:lvlText w:val="●"/>
      <w:lvlJc w:val="left"/>
      <w:pPr>
        <w:tabs>
          <w:tab w:val="num" w:pos="0"/>
        </w:tabs>
        <w:ind w:left="3240" w:hanging="360"/>
      </w:pPr>
      <w:rPr>
        <w:rFonts w:ascii="Noto Sans Symbols" w:hAnsi="Noto Sans Symbols" w:cs="Noto Sans Symbols"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Noto Sans Symbols" w:hAnsi="Noto Sans Symbols" w:cs="Noto Sans Symbols" w:hint="default"/>
      </w:rPr>
    </w:lvl>
    <w:lvl w:ilvl="6">
      <w:start w:val="1"/>
      <w:numFmt w:val="bullet"/>
      <w:lvlText w:val="●"/>
      <w:lvlJc w:val="left"/>
      <w:pPr>
        <w:tabs>
          <w:tab w:val="num" w:pos="0"/>
        </w:tabs>
        <w:ind w:left="5400" w:hanging="360"/>
      </w:pPr>
      <w:rPr>
        <w:rFonts w:ascii="Noto Sans Symbols" w:hAnsi="Noto Sans Symbols" w:cs="Noto Sans Symbols"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Noto Sans Symbols" w:hAnsi="Noto Sans Symbols" w:cs="Noto Sans Symbols" w:hint="default"/>
      </w:rPr>
    </w:lvl>
  </w:abstractNum>
  <w:abstractNum w:abstractNumId="5">
    <w:lvl w:ilvl="0">
      <w:start w:val="1"/>
      <w:numFmt w:val="decimal"/>
      <w:lvlText w:val="%1."/>
      <w:lvlJc w:val="left"/>
      <w:pPr>
        <w:tabs>
          <w:tab w:val="num" w:pos="0"/>
        </w:tabs>
        <w:ind w:left="720" w:hanging="72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320" w:hanging="720"/>
      </w:pPr>
    </w:lvl>
    <w:lvl w:ilvl="6">
      <w:start w:val="1"/>
      <w:numFmt w:val="decimal"/>
      <w:lvlText w:val="%1.%2.%3.%4.%5.%6.%7"/>
      <w:lvlJc w:val="left"/>
      <w:pPr>
        <w:tabs>
          <w:tab w:val="num" w:pos="0"/>
        </w:tabs>
        <w:ind w:left="5040" w:hanging="720"/>
      </w:pPr>
    </w:lvl>
    <w:lvl w:ilvl="7">
      <w:start w:val="1"/>
      <w:numFmt w:val="decimal"/>
      <w:lvlText w:val="%1.%2.%3.%4.%5.%6.%7.%8"/>
      <w:lvlJc w:val="left"/>
      <w:pPr>
        <w:tabs>
          <w:tab w:val="num" w:pos="0"/>
        </w:tabs>
        <w:ind w:left="5760" w:hanging="720"/>
      </w:pPr>
    </w:lvl>
    <w:lvl w:ilvl="8">
      <w:start w:val="1"/>
      <w:numFmt w:val="decimal"/>
      <w:lvlText w:val="%1.%2.%3.%4.%5.%6.%7.%8.%9"/>
      <w:lvlJc w:val="left"/>
      <w:pPr>
        <w:tabs>
          <w:tab w:val="num" w:pos="0"/>
        </w:tabs>
        <w:ind w:left="6480" w:hanging="720"/>
      </w:pPr>
    </w:lvl>
  </w:abstractNum>
  <w:abstractNum w:abstractNumId="6">
    <w:lvl w:ilvl="0">
      <w:start w:val="1"/>
      <w:numFmt w:val="lowerRoman"/>
      <w:lvlText w:val="%1."/>
      <w:lvlJc w:val="right"/>
      <w:pPr>
        <w:tabs>
          <w:tab w:val="num" w:pos="0"/>
        </w:tabs>
        <w:ind w:left="720" w:hanging="360"/>
      </w:pPr>
    </w:lvl>
    <w:lvl w:ilvl="1">
      <w:start w:val="1"/>
      <w:numFmt w:val="lowerRoman"/>
      <w:lvlText w:val="(%2)"/>
      <w:lvlJc w:val="left"/>
      <w:pPr>
        <w:tabs>
          <w:tab w:val="num" w:pos="0"/>
        </w:tabs>
        <w:ind w:left="1440" w:hanging="360"/>
      </w:pPr>
      <w:rPr>
        <w:rFonts w:ascii="Arial" w:hAnsi="Arial" w:eastAsia="Arial" w:cs="Arial"/>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lowerRoman"/>
      <w:lvlText w:val="(%1)"/>
      <w:lvlJc w:val="left"/>
      <w:pPr>
        <w:tabs>
          <w:tab w:val="num" w:pos="0"/>
        </w:tabs>
        <w:ind w:left="1080" w:hanging="720"/>
      </w:pPr>
      <w:rPr>
        <w:b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360" w:hanging="360"/>
      </w:pPr>
      <w:rPr>
        <w:sz w:val="22"/>
        <w:b/>
        <w:szCs w:val="22"/>
        <w:rFonts w:ascii="Arial" w:hAnsi="Arial" w:eastAsia="Arial" w:cs="Arial"/>
      </w:rPr>
    </w:lvl>
    <w:lvl w:ilvl="1">
      <w:start w:val="1"/>
      <w:numFmt w:val="decimal"/>
      <w:lvlText w:val="%1.%2."/>
      <w:lvlJc w:val="left"/>
      <w:pPr>
        <w:tabs>
          <w:tab w:val="num" w:pos="0"/>
        </w:tabs>
        <w:ind w:left="720" w:hanging="360"/>
      </w:pPr>
    </w:lvl>
    <w:lvl w:ilvl="2">
      <w:start w:val="1"/>
      <w:numFmt w:val="lowerRoman"/>
      <w:lvlText w:val="(%3)"/>
      <w:lvlJc w:val="left"/>
      <w:pPr>
        <w:tabs>
          <w:tab w:val="num" w:pos="0"/>
        </w:tabs>
        <w:ind w:left="1080" w:hanging="720"/>
      </w:pPr>
      <w:rPr>
        <w:rFonts w:ascii="Arial" w:hAnsi="Arial" w:eastAsia="Arial" w:cs="Aria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lvl w:ilvl="0">
      <w:start w:val="1"/>
      <w:numFmt w:val="lowerRoman"/>
      <w:lvlText w:val="(%1)"/>
      <w:lvlJc w:val="left"/>
      <w:pPr>
        <w:tabs>
          <w:tab w:val="num" w:pos="0"/>
        </w:tabs>
        <w:ind w:left="360" w:hanging="360"/>
      </w:pPr>
      <w:rPr>
        <w:rFonts w:ascii="Arial" w:hAnsi="Arial" w:eastAsia="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lvl w:ilvl="0">
      <w:start w:val="1"/>
      <w:numFmt w:val="lowerRoman"/>
      <w:lvlText w:val="(%1)"/>
      <w:lvlJc w:val="left"/>
      <w:pPr>
        <w:tabs>
          <w:tab w:val="num" w:pos="0"/>
        </w:tabs>
        <w:ind w:left="1429" w:hanging="360"/>
      </w:pPr>
      <w:rPr>
        <w:rFonts w:ascii="Arial" w:hAnsi="Arial" w:eastAsia="Arial" w:cs="Aria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lvl w:ilvl="0">
      <w:start w:val="1"/>
      <w:numFmt w:val="decimal"/>
      <w:lvlText w:val="%1."/>
      <w:lvlJc w:val="left"/>
      <w:pPr>
        <w:tabs>
          <w:tab w:val="num" w:pos="0"/>
        </w:tabs>
        <w:ind w:left="720" w:hanging="720"/>
      </w:pPr>
    </w:lvl>
    <w:lvl w:ilvl="1">
      <w:start w:val="1"/>
      <w:numFmt w:val="lowerRoman"/>
      <w:lvlText w:val="(%2)"/>
      <w:lvlJc w:val="left"/>
      <w:pPr>
        <w:tabs>
          <w:tab w:val="num" w:pos="0"/>
        </w:tabs>
        <w:ind w:left="1440" w:hanging="720"/>
      </w:pPr>
      <w:rPr>
        <w:rFonts w:ascii="Arial" w:hAnsi="Arial" w:eastAsia="Arial" w:cs="Arial"/>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320" w:hanging="720"/>
      </w:pPr>
    </w:lvl>
    <w:lvl w:ilvl="6">
      <w:start w:val="1"/>
      <w:numFmt w:val="decimal"/>
      <w:lvlText w:val="%1.%2.%3.%4.%5.%6.%7"/>
      <w:lvlJc w:val="left"/>
      <w:pPr>
        <w:tabs>
          <w:tab w:val="num" w:pos="0"/>
        </w:tabs>
        <w:ind w:left="5040" w:hanging="720"/>
      </w:pPr>
    </w:lvl>
    <w:lvl w:ilvl="7">
      <w:start w:val="1"/>
      <w:numFmt w:val="decimal"/>
      <w:lvlText w:val="%1.%2.%3.%4.%5.%6.%7.%8"/>
      <w:lvlJc w:val="left"/>
      <w:pPr>
        <w:tabs>
          <w:tab w:val="num" w:pos="0"/>
        </w:tabs>
        <w:ind w:left="5760" w:hanging="720"/>
      </w:pPr>
    </w:lvl>
    <w:lvl w:ilvl="8">
      <w:start w:val="1"/>
      <w:numFmt w:val="decimal"/>
      <w:lvlText w:val="%1.%2.%3.%4.%5.%6.%7.%8.%9"/>
      <w:lvlJc w:val="left"/>
      <w:pPr>
        <w:tabs>
          <w:tab w:val="num" w:pos="0"/>
        </w:tabs>
        <w:ind w:left="6480" w:hanging="720"/>
      </w:pPr>
    </w:lvl>
  </w:abstractNum>
  <w:abstractNum w:abstractNumId="13">
    <w:lvl w:ilvl="0">
      <w:start w:val="1"/>
      <w:numFmt w:val="bullet"/>
      <w:lvlText w:val="●"/>
      <w:lvlJc w:val="left"/>
      <w:pPr>
        <w:tabs>
          <w:tab w:val="num" w:pos="0"/>
        </w:tabs>
        <w:ind w:left="1800" w:hanging="360"/>
      </w:pPr>
      <w:rPr>
        <w:rFonts w:ascii="Noto Sans Symbols" w:hAnsi="Noto Sans Symbols" w:cs="Noto Sans Symbol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Noto Sans Symbols" w:hAnsi="Noto Sans Symbols" w:cs="Noto Sans Symbols" w:hint="default"/>
      </w:rPr>
    </w:lvl>
    <w:lvl w:ilvl="3">
      <w:start w:val="1"/>
      <w:numFmt w:val="bullet"/>
      <w:lvlText w:val="●"/>
      <w:lvlJc w:val="left"/>
      <w:pPr>
        <w:tabs>
          <w:tab w:val="num" w:pos="0"/>
        </w:tabs>
        <w:ind w:left="3960" w:hanging="360"/>
      </w:pPr>
      <w:rPr>
        <w:rFonts w:ascii="Noto Sans Symbols" w:hAnsi="Noto Sans Symbols" w:cs="Noto Sans Symbols"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Noto Sans Symbols" w:hAnsi="Noto Sans Symbols" w:cs="Noto Sans Symbols" w:hint="default"/>
      </w:rPr>
    </w:lvl>
    <w:lvl w:ilvl="6">
      <w:start w:val="1"/>
      <w:numFmt w:val="bullet"/>
      <w:lvlText w:val="●"/>
      <w:lvlJc w:val="left"/>
      <w:pPr>
        <w:tabs>
          <w:tab w:val="num" w:pos="0"/>
        </w:tabs>
        <w:ind w:left="6120" w:hanging="360"/>
      </w:pPr>
      <w:rPr>
        <w:rFonts w:ascii="Noto Sans Symbols" w:hAnsi="Noto Sans Symbols" w:cs="Noto Sans Symbols"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Noto Sans Symbols" w:hAnsi="Noto Sans Symbols" w:cs="Noto Sans Symbols" w:hint="default"/>
      </w:rPr>
    </w:lvl>
  </w:abstractNum>
  <w:abstractNum w:abstractNumId="14">
    <w:lvl w:ilvl="0">
      <w:start w:val="1"/>
      <w:numFmt w:val="decimal"/>
      <w:lvlText w:val="%1."/>
      <w:lvlJc w:val="left"/>
      <w:pPr>
        <w:tabs>
          <w:tab w:val="num" w:pos="0"/>
        </w:tabs>
        <w:ind w:left="720" w:hanging="720"/>
      </w:pPr>
    </w:lvl>
    <w:lvl w:ilvl="1">
      <w:start w:val="1"/>
      <w:numFmt w:val="bullet"/>
      <w:lvlText w:val="●"/>
      <w:lvlJc w:val="left"/>
      <w:pPr>
        <w:tabs>
          <w:tab w:val="num" w:pos="0"/>
        </w:tabs>
        <w:ind w:left="1440" w:hanging="720"/>
      </w:pPr>
      <w:rPr>
        <w:rFonts w:ascii="Noto Sans Symbols" w:hAnsi="Noto Sans Symbols" w:cs="Noto Sans Symbols" w:hint="default"/>
      </w:rPr>
    </w:lvl>
    <w:lvl w:ilvl="2">
      <w:start w:val="1"/>
      <w:numFmt w:val="decimal"/>
      <w:lvlText w:val="%1.●.%3"/>
      <w:lvlJc w:val="left"/>
      <w:pPr>
        <w:tabs>
          <w:tab w:val="num" w:pos="0"/>
        </w:tabs>
        <w:ind w:left="2160" w:hanging="720"/>
      </w:pPr>
    </w:lvl>
    <w:lvl w:ilvl="3">
      <w:start w:val="1"/>
      <w:numFmt w:val="decimal"/>
      <w:lvlText w:val="%1.●.%3.%4"/>
      <w:lvlJc w:val="left"/>
      <w:pPr>
        <w:tabs>
          <w:tab w:val="num" w:pos="0"/>
        </w:tabs>
        <w:ind w:left="2880" w:hanging="720"/>
      </w:pPr>
    </w:lvl>
    <w:lvl w:ilvl="4">
      <w:start w:val="1"/>
      <w:numFmt w:val="decimal"/>
      <w:lvlText w:val="%1.●.%3.%4.%5"/>
      <w:lvlJc w:val="left"/>
      <w:pPr>
        <w:tabs>
          <w:tab w:val="num" w:pos="0"/>
        </w:tabs>
        <w:ind w:left="3600" w:hanging="720"/>
      </w:pPr>
    </w:lvl>
    <w:lvl w:ilvl="5">
      <w:start w:val="1"/>
      <w:numFmt w:val="decimal"/>
      <w:lvlText w:val="%1.●.%3.%4.%5.%6"/>
      <w:lvlJc w:val="left"/>
      <w:pPr>
        <w:tabs>
          <w:tab w:val="num" w:pos="0"/>
        </w:tabs>
        <w:ind w:left="4320" w:hanging="720"/>
      </w:pPr>
    </w:lvl>
    <w:lvl w:ilvl="6">
      <w:start w:val="1"/>
      <w:numFmt w:val="decimal"/>
      <w:lvlText w:val="%1.●.%3.%4.%5.%6.%7"/>
      <w:lvlJc w:val="left"/>
      <w:pPr>
        <w:tabs>
          <w:tab w:val="num" w:pos="0"/>
        </w:tabs>
        <w:ind w:left="5040" w:hanging="720"/>
      </w:pPr>
    </w:lvl>
    <w:lvl w:ilvl="7">
      <w:start w:val="1"/>
      <w:numFmt w:val="decimal"/>
      <w:lvlText w:val="%1.●.%3.%4.%5.%6.%7.%8"/>
      <w:lvlJc w:val="left"/>
      <w:pPr>
        <w:tabs>
          <w:tab w:val="num" w:pos="0"/>
        </w:tabs>
        <w:ind w:left="5760" w:hanging="720"/>
      </w:pPr>
    </w:lvl>
    <w:lvl w:ilvl="8">
      <w:start w:val="1"/>
      <w:numFmt w:val="decimal"/>
      <w:lvlText w:val="%1.●.%3.%4.%5.%6.%7.%8.%9"/>
      <w:lvlJc w:val="left"/>
      <w:pPr>
        <w:tabs>
          <w:tab w:val="num" w:pos="0"/>
        </w:tabs>
        <w:ind w:left="6480" w:hanging="720"/>
      </w:pPr>
    </w:lvl>
  </w:abstractNum>
  <w:abstractNum w:abstractNumId="15">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8">
    <w:lvl w:ilvl="0">
      <w:start w:val="1"/>
      <w:numFmt w:val="decimal"/>
      <w:lvlText w:val="%1."/>
      <w:lvlJc w:val="left"/>
      <w:pPr>
        <w:tabs>
          <w:tab w:val="num" w:pos="0"/>
        </w:tabs>
        <w:ind w:left="720" w:hanging="72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320" w:hanging="720"/>
      </w:pPr>
    </w:lvl>
    <w:lvl w:ilvl="6">
      <w:start w:val="1"/>
      <w:numFmt w:val="decimal"/>
      <w:lvlText w:val="%1.%2.%3.%4.%5.%6.%7"/>
      <w:lvlJc w:val="left"/>
      <w:pPr>
        <w:tabs>
          <w:tab w:val="num" w:pos="0"/>
        </w:tabs>
        <w:ind w:left="5040" w:hanging="720"/>
      </w:pPr>
    </w:lvl>
    <w:lvl w:ilvl="7">
      <w:start w:val="1"/>
      <w:numFmt w:val="decimal"/>
      <w:lvlText w:val="%1.%2.%3.%4.%5.%6.%7.%8"/>
      <w:lvlJc w:val="left"/>
      <w:pPr>
        <w:tabs>
          <w:tab w:val="num" w:pos="0"/>
        </w:tabs>
        <w:ind w:left="5760" w:hanging="720"/>
      </w:pPr>
    </w:lvl>
    <w:lvl w:ilvl="8">
      <w:start w:val="1"/>
      <w:numFmt w:val="decimal"/>
      <w:lvlText w:val="%1.%2.%3.%4.%5.%6.%7.%8.%9"/>
      <w:lvlJc w:val="left"/>
      <w:pPr>
        <w:tabs>
          <w:tab w:val="num" w:pos="0"/>
        </w:tabs>
        <w:ind w:left="6480" w:hanging="720"/>
      </w:pPr>
    </w:lvl>
  </w:abstractNum>
  <w:abstractNum w:abstractNumId="19">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lvl w:ilvl="0">
      <w:start w:val="1"/>
      <w:numFmt w:val="lowerRoman"/>
      <w:lvlText w:val="(%1)"/>
      <w:lvlJc w:val="left"/>
      <w:pPr>
        <w:tabs>
          <w:tab w:val="num" w:pos="0"/>
        </w:tabs>
        <w:ind w:left="1440" w:hanging="7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lvl w:ilvl="0">
      <w:start w:val="1"/>
      <w:numFmt w:val="lowerRoman"/>
      <w:lvlText w:val="(%1)"/>
      <w:lvlJc w:val="left"/>
      <w:pPr>
        <w:tabs>
          <w:tab w:val="num" w:pos="0"/>
        </w:tabs>
        <w:ind w:left="1440" w:hanging="7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lvl w:ilvl="0">
      <w:start w:val="1"/>
      <w:numFmt w:val="lowerRoman"/>
      <w:lvlText w:val="(%1)"/>
      <w:lvlJc w:val="left"/>
      <w:pPr>
        <w:tabs>
          <w:tab w:val="num" w:pos="0"/>
        </w:tabs>
        <w:ind w:left="1440" w:hanging="7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lvl w:ilvl="0">
      <w:start w:val="1"/>
      <w:numFmt w:val="lowerRoman"/>
      <w:lvlText w:val="(%1)"/>
      <w:lvlJc w:val="left"/>
      <w:pPr>
        <w:tabs>
          <w:tab w:val="num" w:pos="0"/>
        </w:tabs>
        <w:ind w:left="1440" w:hanging="720"/>
      </w:pPr>
      <w:rPr>
        <w:b w:val="false"/>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6">
    <w:lvl w:ilvl="0">
      <w:start w:val="1"/>
      <w:numFmt w:val="bullet"/>
      <w:lvlText w:val=""/>
      <w:lvlJc w:val="left"/>
      <w:pPr>
        <w:tabs>
          <w:tab w:val="num" w:pos="720"/>
        </w:tabs>
        <w:ind w:left="720" w:hanging="360"/>
      </w:pPr>
      <w:rPr>
        <w:rFonts w:ascii="Wingdings" w:hAnsi="Wingdings" w:cs="Wingdings" w:hint="default"/>
      </w:rPr>
    </w:lvl>
    <w:lvl w:ilvl="1">
      <w:start w:val="0"/>
      <w:numFmt w:val="decimal"/>
      <w:lvlText w:val=""/>
      <w:lvlJc w:val="left"/>
      <w:pPr>
        <w:tabs>
          <w:tab w:val="num" w:pos="0"/>
        </w:tabs>
        <w:ind w:left="0" w:hanging="0"/>
      </w:pPr>
    </w:lvl>
    <w:lvl w:ilvl="2">
      <w:start w:val="0"/>
      <w:numFmt w:val="decimal"/>
      <w:lvlText w:val=""/>
      <w:lvlJc w:val="left"/>
      <w:pPr>
        <w:tabs>
          <w:tab w:val="num" w:pos="0"/>
        </w:tabs>
        <w:ind w:left="0" w:hanging="0"/>
      </w:pPr>
    </w:lvl>
    <w:lvl w:ilvl="3">
      <w:start w:val="0"/>
      <w:numFmt w:val="decimal"/>
      <w:lvlText w:val=""/>
      <w:lvlJc w:val="left"/>
      <w:pPr>
        <w:tabs>
          <w:tab w:val="num" w:pos="0"/>
        </w:tabs>
        <w:ind w:left="0" w:hanging="0"/>
      </w:pPr>
    </w:lvl>
    <w:lvl w:ilvl="4">
      <w:start w:val="0"/>
      <w:numFmt w:val="decimal"/>
      <w:lvlText w:val=""/>
      <w:lvlJc w:val="left"/>
      <w:pPr>
        <w:tabs>
          <w:tab w:val="num" w:pos="0"/>
        </w:tabs>
        <w:ind w:left="0" w:hanging="0"/>
      </w:pPr>
    </w:lvl>
    <w:lvl w:ilvl="5">
      <w:start w:val="0"/>
      <w:numFmt w:val="decimal"/>
      <w:lvlText w:val=""/>
      <w:lvlJc w:val="left"/>
      <w:pPr>
        <w:tabs>
          <w:tab w:val="num" w:pos="0"/>
        </w:tabs>
        <w:ind w:left="0" w:hanging="0"/>
      </w:pPr>
    </w:lvl>
    <w:lvl w:ilvl="6">
      <w:start w:val="0"/>
      <w:numFmt w:val="decimal"/>
      <w:lvlText w:val=""/>
      <w:lvlJc w:val="left"/>
      <w:pPr>
        <w:tabs>
          <w:tab w:val="num" w:pos="0"/>
        </w:tabs>
        <w:ind w:left="0" w:hanging="0"/>
      </w:pPr>
    </w:lvl>
    <w:lvl w:ilvl="7">
      <w:start w:val="0"/>
      <w:numFmt w:val="decimal"/>
      <w:lvlText w:val=""/>
      <w:lvlJc w:val="left"/>
      <w:pPr>
        <w:tabs>
          <w:tab w:val="num" w:pos="0"/>
        </w:tabs>
        <w:ind w:left="0" w:hanging="0"/>
      </w:pPr>
    </w:lvl>
    <w:lvl w:ilvl="8">
      <w:start w:val="0"/>
      <w:numFmt w:val="decimal"/>
      <w:lvlText w:val=""/>
      <w:lvlJc w:val="left"/>
      <w:pPr>
        <w:tabs>
          <w:tab w:val="num" w:pos="0"/>
        </w:tabs>
        <w:ind w:left="0" w:hanging="0"/>
      </w:pPr>
    </w:lvl>
  </w:abstractNum>
  <w:abstractNum w:abstractNumId="2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921" w:hanging="360"/>
      </w:pPr>
      <w:rPr>
        <w:rFonts w:ascii="Wingdings" w:hAnsi="Wingdings" w:cs="Wingdings" w:hint="default"/>
      </w:rPr>
    </w:lvl>
    <w:lvl w:ilvl="1">
      <w:start w:val="1"/>
      <w:numFmt w:val="bullet"/>
      <w:lvlText w:val="o"/>
      <w:lvlJc w:val="left"/>
      <w:pPr>
        <w:tabs>
          <w:tab w:val="num" w:pos="0"/>
        </w:tabs>
        <w:ind w:left="1641" w:hanging="360"/>
      </w:pPr>
      <w:rPr>
        <w:rFonts w:ascii="Courier New" w:hAnsi="Courier New" w:cs="Courier New" w:hint="default"/>
      </w:rPr>
    </w:lvl>
    <w:lvl w:ilvl="2">
      <w:start w:val="1"/>
      <w:numFmt w:val="bullet"/>
      <w:lvlText w:val=""/>
      <w:lvlJc w:val="left"/>
      <w:pPr>
        <w:tabs>
          <w:tab w:val="num" w:pos="0"/>
        </w:tabs>
        <w:ind w:left="2361" w:hanging="360"/>
      </w:pPr>
      <w:rPr>
        <w:rFonts w:ascii="Wingdings" w:hAnsi="Wingdings" w:cs="Wingdings" w:hint="default"/>
      </w:rPr>
    </w:lvl>
    <w:lvl w:ilvl="3">
      <w:start w:val="1"/>
      <w:numFmt w:val="bullet"/>
      <w:lvlText w:val=""/>
      <w:lvlJc w:val="left"/>
      <w:pPr>
        <w:tabs>
          <w:tab w:val="num" w:pos="0"/>
        </w:tabs>
        <w:ind w:left="3081" w:hanging="360"/>
      </w:pPr>
      <w:rPr>
        <w:rFonts w:ascii="Symbol" w:hAnsi="Symbol" w:cs="Symbol" w:hint="default"/>
      </w:rPr>
    </w:lvl>
    <w:lvl w:ilvl="4">
      <w:start w:val="1"/>
      <w:numFmt w:val="bullet"/>
      <w:lvlText w:val="o"/>
      <w:lvlJc w:val="left"/>
      <w:pPr>
        <w:tabs>
          <w:tab w:val="num" w:pos="0"/>
        </w:tabs>
        <w:ind w:left="3801" w:hanging="360"/>
      </w:pPr>
      <w:rPr>
        <w:rFonts w:ascii="Courier New" w:hAnsi="Courier New" w:cs="Courier New" w:hint="default"/>
      </w:rPr>
    </w:lvl>
    <w:lvl w:ilvl="5">
      <w:start w:val="1"/>
      <w:numFmt w:val="bullet"/>
      <w:lvlText w:val=""/>
      <w:lvlJc w:val="left"/>
      <w:pPr>
        <w:tabs>
          <w:tab w:val="num" w:pos="0"/>
        </w:tabs>
        <w:ind w:left="4521" w:hanging="360"/>
      </w:pPr>
      <w:rPr>
        <w:rFonts w:ascii="Wingdings" w:hAnsi="Wingdings" w:cs="Wingdings" w:hint="default"/>
      </w:rPr>
    </w:lvl>
    <w:lvl w:ilvl="6">
      <w:start w:val="1"/>
      <w:numFmt w:val="bullet"/>
      <w:lvlText w:val=""/>
      <w:lvlJc w:val="left"/>
      <w:pPr>
        <w:tabs>
          <w:tab w:val="num" w:pos="0"/>
        </w:tabs>
        <w:ind w:left="5241" w:hanging="360"/>
      </w:pPr>
      <w:rPr>
        <w:rFonts w:ascii="Symbol" w:hAnsi="Symbol" w:cs="Symbol" w:hint="default"/>
      </w:rPr>
    </w:lvl>
    <w:lvl w:ilvl="7">
      <w:start w:val="1"/>
      <w:numFmt w:val="bullet"/>
      <w:lvlText w:val="o"/>
      <w:lvlJc w:val="left"/>
      <w:pPr>
        <w:tabs>
          <w:tab w:val="num" w:pos="0"/>
        </w:tabs>
        <w:ind w:left="5961" w:hanging="360"/>
      </w:pPr>
      <w:rPr>
        <w:rFonts w:ascii="Courier New" w:hAnsi="Courier New" w:cs="Courier New" w:hint="default"/>
      </w:rPr>
    </w:lvl>
    <w:lvl w:ilvl="8">
      <w:start w:val="1"/>
      <w:numFmt w:val="bullet"/>
      <w:lvlText w:val=""/>
      <w:lvlJc w:val="left"/>
      <w:pPr>
        <w:tabs>
          <w:tab w:val="num" w:pos="0"/>
        </w:tabs>
        <w:ind w:left="6681" w:hanging="360"/>
      </w:pPr>
      <w:rPr>
        <w:rFonts w:ascii="Wingdings" w:hAnsi="Wingdings" w:cs="Wingdings" w:hint="default"/>
      </w:rPr>
    </w:lvl>
  </w:abstractNum>
  <w:abstractNum w:abstractNumId="3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lvl w:ilvl="0">
      <w:start w:val="2"/>
      <w:numFmt w:val="bullet"/>
      <w:lvlText w:val="-"/>
      <w:lvlJc w:val="left"/>
      <w:pPr>
        <w:tabs>
          <w:tab w:val="num" w:pos="0"/>
        </w:tabs>
        <w:ind w:left="1710" w:hanging="360"/>
      </w:pPr>
      <w:rPr>
        <w:rFonts w:ascii="Arial" w:hAnsi="Arial" w:cs="Arial" w:hint="default"/>
      </w:rPr>
    </w:lvl>
    <w:lvl w:ilvl="1">
      <w:start w:val="1"/>
      <w:numFmt w:val="lowerLetter"/>
      <w:lvlText w:val="%2."/>
      <w:lvlJc w:val="left"/>
      <w:pPr>
        <w:tabs>
          <w:tab w:val="num" w:pos="0"/>
        </w:tabs>
        <w:ind w:left="2430" w:hanging="360"/>
      </w:pPr>
    </w:lvl>
    <w:lvl w:ilvl="2">
      <w:start w:val="1"/>
      <w:numFmt w:val="lowerRoman"/>
      <w:lvlText w:val="%3."/>
      <w:lvlJc w:val="right"/>
      <w:pPr>
        <w:tabs>
          <w:tab w:val="num" w:pos="0"/>
        </w:tabs>
        <w:ind w:left="3150" w:hanging="180"/>
      </w:pPr>
    </w:lvl>
    <w:lvl w:ilvl="3">
      <w:start w:val="1"/>
      <w:numFmt w:val="decimal"/>
      <w:lvlText w:val="%4."/>
      <w:lvlJc w:val="left"/>
      <w:pPr>
        <w:tabs>
          <w:tab w:val="num" w:pos="0"/>
        </w:tabs>
        <w:ind w:left="3870" w:hanging="360"/>
      </w:pPr>
    </w:lvl>
    <w:lvl w:ilvl="4">
      <w:start w:val="1"/>
      <w:numFmt w:val="lowerLetter"/>
      <w:lvlText w:val="%5."/>
      <w:lvlJc w:val="left"/>
      <w:pPr>
        <w:tabs>
          <w:tab w:val="num" w:pos="0"/>
        </w:tabs>
        <w:ind w:left="4590" w:hanging="360"/>
      </w:pPr>
    </w:lvl>
    <w:lvl w:ilvl="5">
      <w:start w:val="1"/>
      <w:numFmt w:val="lowerRoman"/>
      <w:lvlText w:val="%6."/>
      <w:lvlJc w:val="right"/>
      <w:pPr>
        <w:tabs>
          <w:tab w:val="num" w:pos="0"/>
        </w:tabs>
        <w:ind w:left="5310" w:hanging="180"/>
      </w:pPr>
    </w:lvl>
    <w:lvl w:ilvl="6">
      <w:start w:val="1"/>
      <w:numFmt w:val="decimal"/>
      <w:lvlText w:val="%7."/>
      <w:lvlJc w:val="left"/>
      <w:pPr>
        <w:tabs>
          <w:tab w:val="num" w:pos="0"/>
        </w:tabs>
        <w:ind w:left="6030" w:hanging="360"/>
      </w:pPr>
    </w:lvl>
    <w:lvl w:ilvl="7">
      <w:start w:val="1"/>
      <w:numFmt w:val="lowerLetter"/>
      <w:lvlText w:val="%8."/>
      <w:lvlJc w:val="left"/>
      <w:pPr>
        <w:tabs>
          <w:tab w:val="num" w:pos="0"/>
        </w:tabs>
        <w:ind w:left="6750" w:hanging="360"/>
      </w:pPr>
    </w:lvl>
    <w:lvl w:ilvl="8">
      <w:start w:val="1"/>
      <w:numFmt w:val="lowerRoman"/>
      <w:lvlText w:val="%9."/>
      <w:lvlJc w:val="right"/>
      <w:pPr>
        <w:tabs>
          <w:tab w:val="num" w:pos="0"/>
        </w:tabs>
        <w:ind w:left="7470" w:hanging="180"/>
      </w:pPr>
    </w:lvl>
  </w:abstractNum>
  <w:abstractNum w:abstractNumId="33">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lvl w:ilvl="0">
      <w:start w:val="1"/>
      <w:numFmt w:val="lowerRoman"/>
      <w:lvlText w:val="(%1)"/>
      <w:lvlJc w:val="left"/>
      <w:pPr>
        <w:tabs>
          <w:tab w:val="num" w:pos="0"/>
        </w:tabs>
        <w:ind w:left="1080" w:hanging="720"/>
      </w:pPr>
      <w:rPr>
        <w:rFonts w:ascii="Arial" w:hAnsi="Arial" w:cs="Arial"/>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lvl w:ilvl="0">
      <w:numFmt w:val="bullet"/>
      <w:lvlText w:val="-"/>
      <w:lvlJc w:val="left"/>
      <w:pPr>
        <w:tabs>
          <w:tab w:val="num" w:pos="0"/>
        </w:tabs>
        <w:ind w:left="345" w:hanging="360"/>
      </w:pPr>
      <w:rPr>
        <w:rFonts w:ascii="Arial" w:hAnsi="Arial" w:cs="Arial" w:hint="default"/>
      </w:rPr>
    </w:lvl>
    <w:lvl w:ilvl="1">
      <w:start w:val="1"/>
      <w:numFmt w:val="bullet"/>
      <w:lvlText w:val="o"/>
      <w:lvlJc w:val="left"/>
      <w:pPr>
        <w:tabs>
          <w:tab w:val="num" w:pos="0"/>
        </w:tabs>
        <w:ind w:left="1065" w:hanging="360"/>
      </w:pPr>
      <w:rPr>
        <w:rFonts w:ascii="Courier New" w:hAnsi="Courier New" w:cs="Courier New" w:hint="default"/>
      </w:rPr>
    </w:lvl>
    <w:lvl w:ilvl="2">
      <w:start w:val="1"/>
      <w:numFmt w:val="bullet"/>
      <w:lvlText w:val=""/>
      <w:lvlJc w:val="left"/>
      <w:pPr>
        <w:tabs>
          <w:tab w:val="num" w:pos="0"/>
        </w:tabs>
        <w:ind w:left="1785" w:hanging="360"/>
      </w:pPr>
      <w:rPr>
        <w:rFonts w:ascii="Wingdings" w:hAnsi="Wingdings" w:cs="Wingdings" w:hint="default"/>
      </w:rPr>
    </w:lvl>
    <w:lvl w:ilvl="3">
      <w:start w:val="1"/>
      <w:numFmt w:val="bullet"/>
      <w:lvlText w:val=""/>
      <w:lvlJc w:val="left"/>
      <w:pPr>
        <w:tabs>
          <w:tab w:val="num" w:pos="0"/>
        </w:tabs>
        <w:ind w:left="2505" w:hanging="360"/>
      </w:pPr>
      <w:rPr>
        <w:rFonts w:ascii="Symbol" w:hAnsi="Symbol" w:cs="Symbol" w:hint="default"/>
      </w:rPr>
    </w:lvl>
    <w:lvl w:ilvl="4">
      <w:start w:val="1"/>
      <w:numFmt w:val="bullet"/>
      <w:lvlText w:val="o"/>
      <w:lvlJc w:val="left"/>
      <w:pPr>
        <w:tabs>
          <w:tab w:val="num" w:pos="0"/>
        </w:tabs>
        <w:ind w:left="3225" w:hanging="360"/>
      </w:pPr>
      <w:rPr>
        <w:rFonts w:ascii="Courier New" w:hAnsi="Courier New" w:cs="Courier New" w:hint="default"/>
      </w:rPr>
    </w:lvl>
    <w:lvl w:ilvl="5">
      <w:start w:val="1"/>
      <w:numFmt w:val="bullet"/>
      <w:lvlText w:val=""/>
      <w:lvlJc w:val="left"/>
      <w:pPr>
        <w:tabs>
          <w:tab w:val="num" w:pos="0"/>
        </w:tabs>
        <w:ind w:left="3945" w:hanging="360"/>
      </w:pPr>
      <w:rPr>
        <w:rFonts w:ascii="Wingdings" w:hAnsi="Wingdings" w:cs="Wingdings" w:hint="default"/>
      </w:rPr>
    </w:lvl>
    <w:lvl w:ilvl="6">
      <w:start w:val="1"/>
      <w:numFmt w:val="bullet"/>
      <w:lvlText w:val=""/>
      <w:lvlJc w:val="left"/>
      <w:pPr>
        <w:tabs>
          <w:tab w:val="num" w:pos="0"/>
        </w:tabs>
        <w:ind w:left="4665" w:hanging="360"/>
      </w:pPr>
      <w:rPr>
        <w:rFonts w:ascii="Symbol" w:hAnsi="Symbol" w:cs="Symbol" w:hint="default"/>
      </w:rPr>
    </w:lvl>
    <w:lvl w:ilvl="7">
      <w:start w:val="1"/>
      <w:numFmt w:val="bullet"/>
      <w:lvlText w:val="o"/>
      <w:lvlJc w:val="left"/>
      <w:pPr>
        <w:tabs>
          <w:tab w:val="num" w:pos="0"/>
        </w:tabs>
        <w:ind w:left="5385" w:hanging="360"/>
      </w:pPr>
      <w:rPr>
        <w:rFonts w:ascii="Courier New" w:hAnsi="Courier New" w:cs="Courier New" w:hint="default"/>
      </w:rPr>
    </w:lvl>
    <w:lvl w:ilvl="8">
      <w:start w:val="1"/>
      <w:numFmt w:val="bullet"/>
      <w:lvlText w:val=""/>
      <w:lvlJc w:val="left"/>
      <w:pPr>
        <w:tabs>
          <w:tab w:val="num" w:pos="0"/>
        </w:tabs>
        <w:ind w:left="6105" w:hanging="360"/>
      </w:pPr>
      <w:rPr>
        <w:rFonts w:ascii="Wingdings" w:hAnsi="Wingdings" w:cs="Wingdings" w:hint="default"/>
      </w:rPr>
    </w:lvl>
  </w:abstractNum>
  <w:abstractNum w:abstractNumId="3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n-A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100" w:after="100"/>
      <w:jc w:val="left"/>
    </w:pPr>
    <w:rPr>
      <w:rFonts w:ascii="Arial" w:hAnsi="Arial" w:eastAsia="Arial" w:cs="Arial"/>
      <w:color w:val="auto"/>
      <w:kern w:val="0"/>
      <w:sz w:val="22"/>
      <w:szCs w:val="22"/>
      <w:lang w:val="en-AU" w:eastAsia="en-US" w:bidi="ar-SA"/>
    </w:rPr>
  </w:style>
  <w:style w:type="paragraph" w:styleId="Heading1">
    <w:name w:val="Heading 1"/>
    <w:basedOn w:val="Normal"/>
    <w:next w:val="Normal"/>
    <w:uiPriority w:val="9"/>
    <w:qFormat/>
    <w:pPr>
      <w:keepNext w:val="true"/>
      <w:spacing w:before="240" w:after="60"/>
      <w:outlineLvl w:val="0"/>
    </w:pPr>
    <w:rPr>
      <w:rFonts w:ascii="Cambria" w:hAnsi="Cambria" w:eastAsia="Cambria" w:cs="Cambria"/>
      <w:b/>
      <w:sz w:val="32"/>
      <w:szCs w:val="32"/>
    </w:rPr>
  </w:style>
  <w:style w:type="paragraph" w:styleId="Heading2">
    <w:name w:val="Heading 2"/>
    <w:basedOn w:val="Normal"/>
    <w:next w:val="Normal"/>
    <w:uiPriority w:val="9"/>
    <w:unhideWhenUsed/>
    <w:qFormat/>
    <w:pPr>
      <w:keepNext w:val="true"/>
      <w:keepLines/>
      <w:spacing w:before="360" w:after="80"/>
      <w:outlineLvl w:val="1"/>
    </w:pPr>
    <w:rPr>
      <w:b/>
      <w:sz w:val="36"/>
      <w:szCs w:val="36"/>
    </w:rPr>
  </w:style>
  <w:style w:type="paragraph" w:styleId="Heading3">
    <w:name w:val="Heading 3"/>
    <w:basedOn w:val="Normal"/>
    <w:next w:val="Normal"/>
    <w:uiPriority w:val="9"/>
    <w:unhideWhenUsed/>
    <w:qFormat/>
    <w:pPr>
      <w:keepNext w:val="true"/>
      <w:spacing w:before="240" w:after="60"/>
      <w:outlineLvl w:val="2"/>
    </w:pPr>
    <w:rPr>
      <w:rFonts w:ascii="Cambria" w:hAnsi="Cambria" w:eastAsia="Cambria" w:cs="Cambria"/>
      <w:b/>
      <w:sz w:val="26"/>
      <w:szCs w:val="26"/>
    </w:rPr>
  </w:style>
  <w:style w:type="paragraph" w:styleId="Heading4">
    <w:name w:val="Heading 4"/>
    <w:basedOn w:val="Normal"/>
    <w:next w:val="Normal"/>
    <w:uiPriority w:val="9"/>
    <w:unhideWhenUsed/>
    <w:qFormat/>
    <w:pPr>
      <w:keepNext w:val="true"/>
      <w:spacing w:lineRule="auto" w:line="276" w:before="240" w:after="60"/>
      <w:outlineLvl w:val="3"/>
    </w:pPr>
    <w:rPr>
      <w:rFonts w:ascii="Calibri" w:hAnsi="Calibri" w:eastAsia="Calibri" w:cs="Calibri"/>
      <w:b/>
      <w:sz w:val="28"/>
      <w:szCs w:val="28"/>
    </w:rPr>
  </w:style>
  <w:style w:type="paragraph" w:styleId="Heading5">
    <w:name w:val="Heading 5"/>
    <w:basedOn w:val="Normal"/>
    <w:next w:val="Normal"/>
    <w:uiPriority w:val="9"/>
    <w:unhideWhenUsed/>
    <w:qFormat/>
    <w:pPr>
      <w:keepNext w:val="true"/>
      <w:keepLines/>
      <w:spacing w:before="220" w:after="40"/>
      <w:outlineLvl w:val="4"/>
    </w:pPr>
    <w:rPr>
      <w:b/>
    </w:rPr>
  </w:style>
  <w:style w:type="paragraph" w:styleId="Heading6">
    <w:name w:val="Heading 6"/>
    <w:basedOn w:val="Normal"/>
    <w:next w:val="Normal"/>
    <w:uiPriority w:val="9"/>
    <w:unhideWhenUsed/>
    <w:qFormat/>
    <w:pPr>
      <w:spacing w:before="240" w:after="60"/>
      <w:jc w:val="both"/>
      <w:outlineLvl w:val="5"/>
    </w:pPr>
    <w:rPr>
      <w:rFonts w:ascii="Calibri" w:hAnsi="Calibri" w:eastAsia="Calibri" w:cs="Calibri"/>
      <w:b/>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semiHidden/>
    <w:unhideWhenUsed/>
    <w:rsid w:val="000a3bf0"/>
    <w:rPr>
      <w:color w:val="0000FF"/>
      <w:u w:val="single"/>
    </w:rPr>
  </w:style>
  <w:style w:type="character" w:styleId="Emphasis">
    <w:name w:val="Emphasis"/>
    <w:basedOn w:val="DefaultParagraphFont"/>
    <w:qFormat/>
    <w:rsid w:val="00680c27"/>
    <w:rPr>
      <w:rFonts w:cs="Times New Roman"/>
      <w:i/>
      <w:iCs/>
    </w:rPr>
  </w:style>
  <w:style w:type="character" w:styleId="Style8" w:customStyle="1">
    <w:name w:val="Основний текст Знак"/>
    <w:basedOn w:val="DefaultParagraphFont"/>
    <w:link w:val="af9"/>
    <w:uiPriority w:val="99"/>
    <w:semiHidden/>
    <w:qFormat/>
    <w:rsid w:val="0081471f"/>
    <w:rPr/>
  </w:style>
  <w:style w:type="character" w:styleId="Table" w:customStyle="1">
    <w:name w:val="Table"/>
    <w:basedOn w:val="DefaultParagraphFont"/>
    <w:qFormat/>
    <w:rsid w:val="004e5c19"/>
    <w:rPr>
      <w:rFonts w:ascii="Arial" w:hAnsi="Arial" w:cs="Times New Roman"/>
      <w:sz w:val="20"/>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link w:val="afa"/>
    <w:uiPriority w:val="99"/>
    <w:semiHidden/>
    <w:unhideWhenUsed/>
    <w:rsid w:val="0081471f"/>
    <w:pPr>
      <w:spacing w:before="100" w:after="12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680c27"/>
    <w:pPr>
      <w:overflowPunct w:val="true"/>
      <w:spacing w:before="0" w:after="240"/>
      <w:ind w:left="720" w:hanging="0"/>
      <w:jc w:val="both"/>
      <w:textAlignment w:val="baseline"/>
    </w:pPr>
    <w:rPr>
      <w:rFonts w:ascii="Times New Roman" w:hAnsi="Times New Roman" w:eastAsia="Times New Roman" w:cs="Times New Roman"/>
    </w:rPr>
  </w:style>
  <w:style w:type="paragraph" w:styleId="MarginText" w:customStyle="1">
    <w:name w:val="Margin Text"/>
    <w:basedOn w:val="TextBody"/>
    <w:qFormat/>
    <w:rsid w:val="0081471f"/>
    <w:pPr>
      <w:overflowPunct w:val="true"/>
      <w:spacing w:lineRule="auto" w:line="360" w:before="0" w:after="240"/>
      <w:jc w:val="both"/>
      <w:textAlignment w:val="baseline"/>
    </w:pPr>
    <w:rPr>
      <w:rFonts w:ascii="Times New Roman" w:hAnsi="Times New Roman" w:eastAsia="Times New Roman" w:cs="Times New Roman"/>
      <w:szCs w:val="20"/>
      <w:lang w:val="en-GB"/>
    </w:rPr>
  </w:style>
  <w:style w:type="paragraph" w:styleId="SectionVHeader" w:customStyle="1">
    <w:name w:val="Section V. Header"/>
    <w:basedOn w:val="Normal"/>
    <w:qFormat/>
    <w:rsid w:val="004e5c19"/>
    <w:pPr>
      <w:spacing w:before="0" w:after="0"/>
      <w:jc w:val="center"/>
    </w:pPr>
    <w:rPr>
      <w:rFonts w:eastAsia="Times New Roman" w:cs="Times New Roman"/>
      <w:b/>
      <w:sz w:val="36"/>
      <w:szCs w:val="20"/>
      <w:lang w:val="es-ES_tradnl"/>
    </w:rPr>
  </w:style>
  <w:style w:type="paragraph" w:styleId="Section" w:customStyle="1">
    <w:name w:val="Section"/>
    <w:basedOn w:val="Normal"/>
    <w:qFormat/>
    <w:rsid w:val="004e5c19"/>
    <w:pPr>
      <w:widowControl w:val="false"/>
      <w:spacing w:lineRule="exact" w:line="360" w:before="0" w:after="0"/>
      <w:jc w:val="center"/>
    </w:pPr>
    <w:rPr>
      <w:rFonts w:eastAsia="Times New Roman" w:cs="Times New Roman"/>
      <w:b/>
      <w:sz w:val="32"/>
      <w:szCs w:val="20"/>
      <w:lang w:val="cs-CZ"/>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8">
    <w:name w:val="Table Grid"/>
    <w:basedOn w:val="a1"/>
    <w:uiPriority w:val="59"/>
    <w:rsid w:val="00680c27"/>
    <w:pPr>
      <w:spacing w:before="0" w:after="0"/>
    </w:pPr>
    <w:rPr>
      <w:lang w:val="en-US"/>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hyperlink" Target="https://esourcing.unops.org/" TargetMode="External"/><Relationship Id="rId9" Type="http://schemas.openxmlformats.org/officeDocument/2006/relationships/header" Target="header4.xml"/><Relationship Id="rId10" Type="http://schemas.openxmlformats.org/officeDocument/2006/relationships/footer" Target="footer4.xml"/><Relationship Id="rId11" Type="http://schemas.openxmlformats.org/officeDocument/2006/relationships/hyperlink" Target="https://esourcing.unops.org/" TargetMode="External"/><Relationship Id="rId12" Type="http://schemas.openxmlformats.org/officeDocument/2006/relationships/hyperlink" Target="https://esourcing.unops.org/" TargetMode="External"/><Relationship Id="rId13" Type="http://schemas.openxmlformats.org/officeDocument/2006/relationships/hyperlink" Target="https://esourcing.unops.org/" TargetMode="External"/><Relationship Id="rId14" Type="http://schemas.openxmlformats.org/officeDocument/2006/relationships/header" Target="header5.xml"/><Relationship Id="rId15" Type="http://schemas.openxmlformats.org/officeDocument/2006/relationships/footer" Target="footer5.xml"/><Relationship Id="rId16" Type="http://schemas.openxmlformats.org/officeDocument/2006/relationships/hyperlink" Target="http://www.unops.org/" TargetMode="External"/><Relationship Id="rId17" Type="http://schemas.openxmlformats.org/officeDocument/2006/relationships/header" Target="header6.xml"/><Relationship Id="rId18" Type="http://schemas.openxmlformats.org/officeDocument/2006/relationships/footer" Target="footer6.xml"/><Relationship Id="rId19" Type="http://schemas.openxmlformats.org/officeDocument/2006/relationships/header" Target="header7.xml"/><Relationship Id="rId20" Type="http://schemas.openxmlformats.org/officeDocument/2006/relationships/footer" Target="footer7.xml"/><Relationship Id="rId21" Type="http://schemas.openxmlformats.org/officeDocument/2006/relationships/image" Target="media/image7.png"/><Relationship Id="rId22" Type="http://schemas.openxmlformats.org/officeDocument/2006/relationships/hyperlink" Target="http://treasury.un.org/" TargetMode="External"/><Relationship Id="rId23" Type="http://schemas.openxmlformats.org/officeDocument/2006/relationships/header" Target="header8.xml"/><Relationship Id="rId24" Type="http://schemas.openxmlformats.org/officeDocument/2006/relationships/footer" Target="footer8.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_rels/header4.xml.rels><?xml version="1.0" encoding="UTF-8"?>
<Relationships xmlns="http://schemas.openxmlformats.org/package/2006/relationships"><Relationship Id="rId1" Type="http://schemas.openxmlformats.org/officeDocument/2006/relationships/image" Target="media/image3.png"/>
</Relationships>
</file>

<file path=word/_rels/header5.xml.rels><?xml version="1.0" encoding="UTF-8"?>
<Relationships xmlns="http://schemas.openxmlformats.org/package/2006/relationships"><Relationship Id="rId1" Type="http://schemas.openxmlformats.org/officeDocument/2006/relationships/image" Target="media/image4.png"/>
</Relationships>
</file>

<file path=word/_rels/header6.xml.rels><?xml version="1.0" encoding="UTF-8"?>
<Relationships xmlns="http://schemas.openxmlformats.org/package/2006/relationships"><Relationship Id="rId1" Type="http://schemas.openxmlformats.org/officeDocument/2006/relationships/image" Target="media/image5.png"/>
</Relationships>
</file>

<file path=word/_rels/header7.xml.rels><?xml version="1.0" encoding="UTF-8"?>
<Relationships xmlns="http://schemas.openxmlformats.org/package/2006/relationships"><Relationship Id="rId1" Type="http://schemas.openxmlformats.org/officeDocument/2006/relationships/image" Target="media/image6.png"/>
</Relationships>
</file>

<file path=word/_rels/header8.xml.rels><?xml version="1.0" encoding="UTF-8"?>
<Relationships xmlns="http://schemas.openxmlformats.org/package/2006/relationships"><Relationship Id="rId1" Type="http://schemas.openxmlformats.org/officeDocument/2006/relationships/image" Target="media/image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Application>LibreOffice/7.0.0.3$Windows_X86_64 LibreOffice_project/8061b3e9204bef6b321a21033174034a5e2ea88e</Application>
  <Pages>36</Pages>
  <Words>8285</Words>
  <Characters>46575</Characters>
  <CharactersWithSpaces>54361</CharactersWithSpaces>
  <Paragraphs>645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2020-04-01T09:45:00Z</dcterms:created>
  <dc:creator>Artem K</dc:creator>
  <dc:description/>
  <dc:language>en-US</dc:language>
  <cp:lastModifiedBy/>
  <dcterms:modified xsi:type="dcterms:W3CDTF">2020-10-09T17:46:06Z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